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both"/>
        <w:rPr>
          <w:rFonts w:hint="eastAsia" w:ascii="黑体" w:hAnsi="宋体" w:eastAsia="黑体"/>
          <w:b/>
          <w:color w:val="auto"/>
          <w:sz w:val="36"/>
          <w:szCs w:val="36"/>
          <w:lang w:eastAsia="zh-CN"/>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both"/>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r>
        <w:drawing>
          <wp:anchor distT="0" distB="0" distL="114300" distR="114300" simplePos="0" relativeHeight="251683840" behindDoc="1" locked="0" layoutInCell="1" allowOverlap="1">
            <wp:simplePos x="0" y="0"/>
            <wp:positionH relativeFrom="column">
              <wp:posOffset>1863090</wp:posOffset>
            </wp:positionH>
            <wp:positionV relativeFrom="paragraph">
              <wp:posOffset>264795</wp:posOffset>
            </wp:positionV>
            <wp:extent cx="1649730" cy="1649730"/>
            <wp:effectExtent l="0" t="0" r="7620" b="7620"/>
            <wp:wrapTight wrapText="bothSides">
              <wp:wrapPolygon>
                <wp:start x="0" y="0"/>
                <wp:lineTo x="0" y="21450"/>
                <wp:lineTo x="21450" y="21450"/>
                <wp:lineTo x="21450" y="0"/>
                <wp:lineTo x="0" y="0"/>
              </wp:wrapPolygon>
            </wp:wrapTight>
            <wp:docPr id="75" name="图片 2" descr="QQ图片2016120808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QQ图片20161208082126"/>
                    <pic:cNvPicPr>
                      <a:picLocks noChangeAspect="1"/>
                    </pic:cNvPicPr>
                  </pic:nvPicPr>
                  <pic:blipFill>
                    <a:blip r:embed="rId5"/>
                    <a:stretch>
                      <a:fillRect/>
                    </a:stretch>
                  </pic:blipFill>
                  <pic:spPr>
                    <a:xfrm>
                      <a:off x="0" y="0"/>
                      <a:ext cx="1649730" cy="1649730"/>
                    </a:xfrm>
                    <a:prstGeom prst="rect">
                      <a:avLst/>
                    </a:prstGeom>
                    <a:noFill/>
                    <a:ln>
                      <a:noFill/>
                    </a:ln>
                  </pic:spPr>
                </pic:pic>
              </a:graphicData>
            </a:graphic>
          </wp:anchor>
        </w:drawing>
      </w: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48"/>
          <w:szCs w:val="48"/>
        </w:rPr>
      </w:pPr>
      <w:r>
        <w:rPr>
          <w:rFonts w:hint="eastAsia" w:ascii="黑体" w:hAnsi="宋体" w:eastAsia="黑体"/>
          <w:b/>
          <w:color w:val="auto"/>
          <w:sz w:val="48"/>
          <w:szCs w:val="48"/>
        </w:rPr>
        <w:t>揭阳捷和职业技术学校</w:t>
      </w:r>
    </w:p>
    <w:p>
      <w:pPr>
        <w:ind w:firstLine="0" w:firstLineChars="0"/>
        <w:jc w:val="center"/>
        <w:rPr>
          <w:rFonts w:hint="eastAsia" w:ascii="黑体" w:hAnsi="宋体" w:eastAsia="黑体"/>
          <w:b/>
          <w:color w:val="auto"/>
          <w:sz w:val="48"/>
          <w:szCs w:val="48"/>
        </w:rPr>
      </w:pPr>
    </w:p>
    <w:p>
      <w:pPr>
        <w:ind w:left="0" w:leftChars="0" w:firstLine="0" w:firstLineChars="0"/>
        <w:jc w:val="center"/>
        <w:rPr>
          <w:rFonts w:hint="eastAsia" w:ascii="黑体" w:hAnsi="宋体" w:eastAsia="黑体"/>
          <w:b/>
          <w:color w:val="auto"/>
          <w:sz w:val="48"/>
          <w:szCs w:val="48"/>
        </w:rPr>
      </w:pPr>
      <w:r>
        <w:rPr>
          <w:rFonts w:hint="eastAsia" w:ascii="黑体" w:hAnsi="宋体" w:eastAsia="黑体"/>
          <w:b/>
          <w:color w:val="auto"/>
          <w:sz w:val="48"/>
          <w:szCs w:val="48"/>
        </w:rPr>
        <w:t>中等职业教育人才培养质量年度报告</w:t>
      </w:r>
    </w:p>
    <w:p>
      <w:pPr>
        <w:ind w:left="0" w:leftChars="0" w:firstLine="0" w:firstLineChars="0"/>
        <w:jc w:val="center"/>
        <w:rPr>
          <w:b/>
          <w:bCs/>
          <w:sz w:val="40"/>
          <w:szCs w:val="40"/>
        </w:rPr>
      </w:pPr>
      <w:r>
        <w:rPr>
          <w:rFonts w:hint="eastAsia" w:ascii="黑体" w:hAnsi="宋体" w:eastAsia="黑体"/>
          <w:b/>
          <w:color w:val="auto"/>
          <w:sz w:val="48"/>
          <w:szCs w:val="48"/>
        </w:rPr>
        <w:t>（</w:t>
      </w:r>
      <w:r>
        <w:rPr>
          <w:rFonts w:hint="eastAsia" w:ascii="黑体" w:hAnsi="宋体" w:eastAsia="黑体"/>
          <w:b/>
          <w:color w:val="auto"/>
          <w:sz w:val="48"/>
          <w:szCs w:val="48"/>
          <w:lang w:val="en-US" w:eastAsia="zh-CN"/>
        </w:rPr>
        <w:t>2022</w:t>
      </w:r>
      <w:r>
        <w:rPr>
          <w:rFonts w:hint="eastAsia" w:ascii="黑体" w:hAnsi="宋体" w:eastAsia="黑体"/>
          <w:b/>
          <w:color w:val="auto"/>
          <w:sz w:val="48"/>
          <w:szCs w:val="48"/>
        </w:rPr>
        <w:t>年）</w:t>
      </w: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center"/>
        <w:rPr>
          <w:rFonts w:hint="eastAsia" w:ascii="黑体" w:hAnsi="宋体" w:eastAsia="黑体"/>
          <w:b/>
          <w:color w:val="auto"/>
          <w:sz w:val="36"/>
          <w:szCs w:val="36"/>
        </w:rPr>
      </w:pPr>
    </w:p>
    <w:p>
      <w:pPr>
        <w:ind w:firstLine="0" w:firstLineChars="0"/>
        <w:jc w:val="both"/>
        <w:rPr>
          <w:rFonts w:hint="eastAsia" w:ascii="黑体" w:hAnsi="宋体" w:eastAsia="黑体"/>
          <w:b/>
          <w:color w:val="auto"/>
          <w:sz w:val="36"/>
          <w:szCs w:val="36"/>
        </w:rPr>
      </w:pPr>
      <w:bookmarkStart w:id="81" w:name="_GoBack"/>
      <w:bookmarkEnd w:id="81"/>
    </w:p>
    <w:p>
      <w:pPr>
        <w:ind w:firstLine="0" w:firstLineChars="0"/>
        <w:jc w:val="both"/>
        <w:rPr>
          <w:rFonts w:hint="eastAsia" w:ascii="黑体" w:hAnsi="宋体" w:eastAsia="黑体"/>
          <w:b/>
          <w:color w:val="auto"/>
          <w:sz w:val="36"/>
          <w:szCs w:val="36"/>
        </w:rPr>
      </w:pPr>
    </w:p>
    <w:p>
      <w:pPr>
        <w:ind w:firstLine="0" w:firstLineChars="0"/>
        <w:jc w:val="center"/>
        <w:rPr>
          <w:rFonts w:hint="eastAsia" w:ascii="黑体" w:hAnsi="宋体" w:eastAsia="黑体"/>
          <w:b/>
          <w:color w:val="auto"/>
          <w:sz w:val="44"/>
          <w:szCs w:val="44"/>
        </w:rPr>
      </w:pPr>
      <w:r>
        <w:rPr>
          <w:rFonts w:hint="eastAsia" w:ascii="黑体" w:hAnsi="宋体" w:eastAsia="黑体"/>
          <w:b/>
          <w:color w:val="auto"/>
          <w:sz w:val="36"/>
          <w:szCs w:val="36"/>
          <w:lang w:val="en-US" w:eastAsia="zh-CN"/>
        </w:rPr>
        <w:t>揭阳捷和职业技术学校</w:t>
      </w:r>
    </w:p>
    <w:p>
      <w:pPr>
        <w:ind w:firstLine="0" w:firstLineChars="0"/>
        <w:jc w:val="center"/>
        <w:rPr>
          <w:rFonts w:hint="default" w:ascii="黑体" w:hAnsi="宋体" w:eastAsia="黑体"/>
          <w:b/>
          <w:color w:val="auto"/>
          <w:sz w:val="32"/>
          <w:szCs w:val="32"/>
          <w:lang w:val="en-US" w:eastAsia="zh-CN"/>
        </w:rPr>
      </w:pPr>
      <w:r>
        <w:rPr>
          <w:rFonts w:hint="eastAsia" w:ascii="黑体" w:hAnsi="宋体" w:eastAsia="黑体"/>
          <w:b/>
          <w:color w:val="auto"/>
          <w:sz w:val="32"/>
          <w:szCs w:val="32"/>
          <w:lang w:val="en-US" w:eastAsia="zh-CN"/>
        </w:rPr>
        <w:t>2021年11月</w:t>
      </w:r>
    </w:p>
    <w:p>
      <w:pPr>
        <w:ind w:firstLine="0" w:firstLineChars="0"/>
        <w:jc w:val="left"/>
        <w:rPr>
          <w:rFonts w:hint="eastAsia" w:ascii="黑体" w:hAnsi="宋体" w:eastAsia="黑体"/>
          <w:b/>
          <w:color w:val="auto"/>
          <w:sz w:val="36"/>
          <w:szCs w:val="36"/>
          <w:lang w:eastAsia="zh-CN"/>
        </w:rPr>
      </w:pPr>
    </w:p>
    <w:sdt>
      <w:sdtPr>
        <w:rPr>
          <w:rFonts w:ascii="宋体" w:hAnsi="宋体" w:eastAsia="宋体" w:cstheme="minorBidi"/>
          <w:kern w:val="2"/>
          <w:sz w:val="56"/>
          <w:szCs w:val="96"/>
          <w:lang w:val="en-US" w:eastAsia="zh-CN" w:bidi="ar-SA"/>
        </w:rPr>
        <w:id w:val="147455149"/>
        <w15:color w:val="DBDBDB"/>
        <w:docPartObj>
          <w:docPartGallery w:val="Table of Contents"/>
          <w:docPartUnique/>
        </w:docPartObj>
      </w:sdtPr>
      <w:sdtEndPr>
        <w:rPr>
          <w:rFonts w:hint="eastAsia" w:ascii="黑体" w:hAnsi="宋体" w:eastAsia="黑体" w:cstheme="minorBidi"/>
          <w:b/>
          <w:color w:val="auto"/>
          <w:kern w:val="2"/>
          <w:sz w:val="24"/>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宋体" w:eastAsia="黑体"/>
              <w:b/>
              <w:color w:val="auto"/>
              <w:sz w:val="48"/>
              <w:szCs w:val="48"/>
            </w:rPr>
          </w:pPr>
          <w:r>
            <w:rPr>
              <w:rFonts w:ascii="宋体" w:hAnsi="宋体" w:eastAsia="宋体"/>
              <w:sz w:val="56"/>
              <w:szCs w:val="96"/>
            </w:rPr>
            <w:t>目</w:t>
          </w:r>
          <w:r>
            <w:rPr>
              <w:rFonts w:hint="eastAsia" w:ascii="宋体" w:hAnsi="宋体" w:eastAsia="宋体"/>
              <w:sz w:val="56"/>
              <w:szCs w:val="96"/>
              <w:lang w:val="en-US" w:eastAsia="zh-CN"/>
            </w:rPr>
            <w:t xml:space="preserve">   </w:t>
          </w:r>
          <w:r>
            <w:rPr>
              <w:rFonts w:ascii="宋体" w:hAnsi="宋体" w:eastAsia="宋体"/>
              <w:sz w:val="56"/>
              <w:szCs w:val="96"/>
            </w:rPr>
            <w:t>录</w:t>
          </w:r>
        </w:p>
        <w:p>
          <w:pPr>
            <w:pStyle w:val="12"/>
            <w:tabs>
              <w:tab w:val="right" w:leader="dot" w:pos="8306"/>
            </w:tabs>
          </w:pPr>
          <w:r>
            <w:rPr>
              <w:rFonts w:hint="eastAsia" w:ascii="黑体" w:hAnsi="宋体" w:eastAsia="黑体"/>
              <w:b/>
              <w:color w:val="auto"/>
              <w:sz w:val="48"/>
              <w:szCs w:val="48"/>
            </w:rPr>
            <w:fldChar w:fldCharType="begin"/>
          </w:r>
          <w:r>
            <w:rPr>
              <w:rFonts w:hint="eastAsia" w:ascii="黑体" w:hAnsi="宋体" w:eastAsia="黑体"/>
              <w:b/>
              <w:color w:val="auto"/>
              <w:sz w:val="48"/>
              <w:szCs w:val="48"/>
            </w:rPr>
            <w:instrText xml:space="preserve">TOC \o "1-2" \h \u </w:instrText>
          </w:r>
          <w:r>
            <w:rPr>
              <w:rFonts w:hint="eastAsia" w:ascii="黑体" w:hAnsi="宋体" w:eastAsia="黑体"/>
              <w:b/>
              <w:color w:val="auto"/>
              <w:sz w:val="48"/>
              <w:szCs w:val="48"/>
            </w:rPr>
            <w:fldChar w:fldCharType="separate"/>
          </w:r>
        </w:p>
        <w:p>
          <w:pPr>
            <w:pStyle w:val="12"/>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_Toc27783 </w:instrText>
          </w:r>
          <w:r>
            <w:rPr>
              <w:rFonts w:hint="eastAsia" w:ascii="黑体" w:hAnsi="宋体" w:eastAsia="黑体"/>
              <w:szCs w:val="48"/>
            </w:rPr>
            <w:fldChar w:fldCharType="separate"/>
          </w:r>
          <w:r>
            <w:rPr>
              <w:rFonts w:hint="eastAsia"/>
            </w:rPr>
            <w:t>一、 学校概况</w:t>
          </w:r>
          <w:r>
            <w:tab/>
          </w:r>
          <w:r>
            <w:fldChar w:fldCharType="begin"/>
          </w:r>
          <w:r>
            <w:instrText xml:space="preserve"> PAGEREF _Toc27783 \h </w:instrText>
          </w:r>
          <w:r>
            <w:fldChar w:fldCharType="separate"/>
          </w:r>
          <w:r>
            <w:t>1</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_Toc9270 </w:instrText>
          </w:r>
          <w:r>
            <w:rPr>
              <w:rFonts w:hint="eastAsia" w:ascii="黑体" w:hAnsi="宋体" w:eastAsia="黑体"/>
              <w:szCs w:val="48"/>
            </w:rPr>
            <w:fldChar w:fldCharType="separate"/>
          </w:r>
          <w:r>
            <w:rPr>
              <w:rFonts w:hint="eastAsia"/>
            </w:rPr>
            <w:t>（一） 学校基本情况</w:t>
          </w:r>
          <w:r>
            <w:tab/>
          </w:r>
          <w:r>
            <w:fldChar w:fldCharType="begin"/>
          </w:r>
          <w:r>
            <w:instrText xml:space="preserve"> PAGEREF _Toc9270 \h </w:instrText>
          </w:r>
          <w:r>
            <w:fldChar w:fldCharType="separate"/>
          </w:r>
          <w:r>
            <w:t>1</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_Toc2676 </w:instrText>
          </w:r>
          <w:r>
            <w:rPr>
              <w:rFonts w:hint="eastAsia" w:ascii="黑体" w:hAnsi="宋体" w:eastAsia="黑体"/>
              <w:szCs w:val="48"/>
            </w:rPr>
            <w:fldChar w:fldCharType="separate"/>
          </w:r>
          <w:r>
            <w:rPr>
              <w:rFonts w:hint="eastAsia"/>
              <w:lang w:val="en-US" w:eastAsia="zh-CN"/>
            </w:rPr>
            <w:t>（二） 学校师资队伍基本情况</w:t>
          </w:r>
          <w:r>
            <w:tab/>
          </w:r>
          <w:r>
            <w:fldChar w:fldCharType="begin"/>
          </w:r>
          <w:r>
            <w:instrText xml:space="preserve"> PAGEREF _Toc2676 \h </w:instrText>
          </w:r>
          <w:r>
            <w:fldChar w:fldCharType="separate"/>
          </w:r>
          <w:r>
            <w:t>1</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_Toc1098 </w:instrText>
          </w:r>
          <w:r>
            <w:rPr>
              <w:rFonts w:hint="eastAsia" w:ascii="黑体" w:hAnsi="宋体" w:eastAsia="黑体"/>
              <w:szCs w:val="48"/>
            </w:rPr>
            <w:fldChar w:fldCharType="separate"/>
          </w:r>
          <w:r>
            <w:rPr>
              <w:rFonts w:hint="eastAsia"/>
              <w:lang w:val="en-US" w:eastAsia="zh-CN"/>
            </w:rPr>
            <w:t>（三） 学校专业基本情况</w:t>
          </w:r>
          <w:r>
            <w:tab/>
          </w:r>
          <w:r>
            <w:fldChar w:fldCharType="begin"/>
          </w:r>
          <w:r>
            <w:instrText xml:space="preserve"> PAGEREF _Toc1098 \h </w:instrText>
          </w:r>
          <w:r>
            <w:fldChar w:fldCharType="separate"/>
          </w:r>
          <w:r>
            <w:t>3</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_Toc21445 </w:instrText>
          </w:r>
          <w:r>
            <w:rPr>
              <w:rFonts w:hint="eastAsia" w:ascii="黑体" w:hAnsi="宋体" w:eastAsia="黑体"/>
              <w:szCs w:val="48"/>
            </w:rPr>
            <w:fldChar w:fldCharType="separate"/>
          </w:r>
          <w:r>
            <w:rPr>
              <w:rFonts w:hint="eastAsia"/>
              <w:lang w:val="en-US" w:eastAsia="zh-CN"/>
            </w:rPr>
            <w:t>（四） 学校办学条件综合分析</w:t>
          </w:r>
          <w:r>
            <w:tab/>
          </w:r>
          <w:r>
            <w:fldChar w:fldCharType="begin"/>
          </w:r>
          <w:r>
            <w:instrText xml:space="preserve"> PAGEREF _Toc21445 \h </w:instrText>
          </w:r>
          <w:r>
            <w:fldChar w:fldCharType="separate"/>
          </w:r>
          <w:r>
            <w:t>3</w:t>
          </w:r>
          <w:r>
            <w:fldChar w:fldCharType="end"/>
          </w:r>
          <w:r>
            <w:rPr>
              <w:rFonts w:hint="eastAsia" w:ascii="黑体" w:hAnsi="宋体" w:eastAsia="黑体"/>
              <w:color w:val="auto"/>
              <w:szCs w:val="48"/>
            </w:rPr>
            <w:fldChar w:fldCharType="end"/>
          </w:r>
        </w:p>
        <w:p>
          <w:pPr>
            <w:pStyle w:val="12"/>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_Toc9806 </w:instrText>
          </w:r>
          <w:r>
            <w:rPr>
              <w:rFonts w:hint="eastAsia" w:ascii="黑体" w:hAnsi="宋体" w:eastAsia="黑体"/>
              <w:szCs w:val="48"/>
            </w:rPr>
            <w:fldChar w:fldCharType="separate"/>
          </w:r>
          <w:r>
            <w:rPr>
              <w:rFonts w:hint="eastAsia"/>
              <w:lang w:val="en-US" w:eastAsia="zh-CN"/>
            </w:rPr>
            <w:t>二、 学生发展</w:t>
          </w:r>
          <w:r>
            <w:tab/>
          </w:r>
          <w:r>
            <w:fldChar w:fldCharType="begin"/>
          </w:r>
          <w:r>
            <w:instrText xml:space="preserve"> PAGEREF _Toc9806 \h </w:instrText>
          </w:r>
          <w:r>
            <w:fldChar w:fldCharType="separate"/>
          </w:r>
          <w:r>
            <w:t>4</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_Toc17402 </w:instrText>
          </w:r>
          <w:r>
            <w:rPr>
              <w:rFonts w:hint="eastAsia" w:ascii="黑体" w:hAnsi="宋体" w:eastAsia="黑体"/>
              <w:szCs w:val="48"/>
            </w:rPr>
            <w:fldChar w:fldCharType="separate"/>
          </w:r>
          <w:r>
            <w:rPr>
              <w:rFonts w:hint="eastAsia"/>
              <w:lang w:val="en-US" w:eastAsia="zh-CN"/>
            </w:rPr>
            <w:t>（一） 学生德育素质工作</w:t>
          </w:r>
          <w:r>
            <w:tab/>
          </w:r>
          <w:r>
            <w:fldChar w:fldCharType="begin"/>
          </w:r>
          <w:r>
            <w:instrText xml:space="preserve"> PAGEREF _Toc17402 \h </w:instrText>
          </w:r>
          <w:r>
            <w:fldChar w:fldCharType="separate"/>
          </w:r>
          <w:r>
            <w:t>4</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_Toc25233 </w:instrText>
          </w:r>
          <w:r>
            <w:rPr>
              <w:rFonts w:hint="eastAsia" w:ascii="黑体" w:hAnsi="宋体" w:eastAsia="黑体"/>
              <w:szCs w:val="48"/>
            </w:rPr>
            <w:fldChar w:fldCharType="separate"/>
          </w:r>
          <w:r>
            <w:rPr>
              <w:rFonts w:hint="eastAsia"/>
              <w:lang w:val="en-US" w:eastAsia="zh-CN"/>
            </w:rPr>
            <w:t>（二） 学生专业素养工作</w:t>
          </w:r>
          <w:r>
            <w:tab/>
          </w:r>
          <w:r>
            <w:fldChar w:fldCharType="begin"/>
          </w:r>
          <w:r>
            <w:instrText xml:space="preserve"> PAGEREF _Toc25233 \h </w:instrText>
          </w:r>
          <w:r>
            <w:fldChar w:fldCharType="separate"/>
          </w:r>
          <w:r>
            <w:t>24</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_Toc14764 </w:instrText>
          </w:r>
          <w:r>
            <w:rPr>
              <w:rFonts w:hint="eastAsia" w:ascii="黑体" w:hAnsi="宋体" w:eastAsia="黑体"/>
              <w:szCs w:val="48"/>
            </w:rPr>
            <w:fldChar w:fldCharType="separate"/>
          </w:r>
          <w:r>
            <w:rPr>
              <w:rFonts w:hint="eastAsia"/>
              <w:lang w:val="en-US" w:eastAsia="zh-CN"/>
            </w:rPr>
            <w:t>（三） 学生社团及第二课堂活动情况</w:t>
          </w:r>
          <w:r>
            <w:tab/>
          </w:r>
          <w:r>
            <w:fldChar w:fldCharType="begin"/>
          </w:r>
          <w:r>
            <w:instrText xml:space="preserve"> PAGEREF _Toc14764 \h </w:instrText>
          </w:r>
          <w:r>
            <w:fldChar w:fldCharType="separate"/>
          </w:r>
          <w:r>
            <w:t>35</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_Toc3754 </w:instrText>
          </w:r>
          <w:r>
            <w:rPr>
              <w:rFonts w:hint="eastAsia" w:ascii="黑体" w:hAnsi="宋体" w:eastAsia="黑体"/>
              <w:szCs w:val="48"/>
            </w:rPr>
            <w:fldChar w:fldCharType="separate"/>
          </w:r>
          <w:r>
            <w:rPr>
              <w:rFonts w:hint="eastAsia" w:ascii="Arial" w:hAnsi="Arial"/>
              <w:lang w:val="en-US" w:eastAsia="zh-CN"/>
            </w:rPr>
            <w:t>（四） 学生在校体验</w:t>
          </w:r>
          <w:r>
            <w:tab/>
          </w:r>
          <w:r>
            <w:fldChar w:fldCharType="begin"/>
          </w:r>
          <w:r>
            <w:instrText xml:space="preserve"> PAGEREF _Toc3754 \h </w:instrText>
          </w:r>
          <w:r>
            <w:fldChar w:fldCharType="separate"/>
          </w:r>
          <w:r>
            <w:t>41</w:t>
          </w:r>
          <w:r>
            <w:fldChar w:fldCharType="end"/>
          </w:r>
          <w:r>
            <w:rPr>
              <w:rFonts w:hint="eastAsia" w:ascii="黑体" w:hAnsi="宋体" w:eastAsia="黑体"/>
              <w:color w:val="auto"/>
              <w:szCs w:val="48"/>
            </w:rPr>
            <w:fldChar w:fldCharType="end"/>
          </w:r>
        </w:p>
        <w:p>
          <w:pPr>
            <w:pStyle w:val="12"/>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_Toc26608 </w:instrText>
          </w:r>
          <w:r>
            <w:rPr>
              <w:rFonts w:hint="eastAsia" w:ascii="黑体" w:hAnsi="宋体" w:eastAsia="黑体"/>
              <w:szCs w:val="48"/>
            </w:rPr>
            <w:fldChar w:fldCharType="separate"/>
          </w:r>
          <w:r>
            <w:rPr>
              <w:rFonts w:hint="eastAsia"/>
              <w:lang w:val="en-US" w:eastAsia="zh-CN"/>
            </w:rPr>
            <w:t>三、 教学改革</w:t>
          </w:r>
          <w:r>
            <w:tab/>
          </w:r>
          <w:r>
            <w:fldChar w:fldCharType="begin"/>
          </w:r>
          <w:r>
            <w:instrText xml:space="preserve"> PAGEREF _Toc26608 \h </w:instrText>
          </w:r>
          <w:r>
            <w:fldChar w:fldCharType="separate"/>
          </w:r>
          <w:r>
            <w:t>43</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_Toc24014 </w:instrText>
          </w:r>
          <w:r>
            <w:rPr>
              <w:rFonts w:hint="eastAsia" w:ascii="黑体" w:hAnsi="宋体" w:eastAsia="黑体"/>
              <w:szCs w:val="48"/>
            </w:rPr>
            <w:fldChar w:fldCharType="separate"/>
          </w:r>
          <w:r>
            <w:rPr>
              <w:rFonts w:hint="eastAsia"/>
              <w:lang w:val="en-US" w:eastAsia="zh-CN"/>
            </w:rPr>
            <w:t>（一） 公共基础课的改革</w:t>
          </w:r>
          <w:r>
            <w:tab/>
          </w:r>
          <w:r>
            <w:fldChar w:fldCharType="begin"/>
          </w:r>
          <w:r>
            <w:instrText xml:space="preserve"> PAGEREF _Toc24014 \h </w:instrText>
          </w:r>
          <w:r>
            <w:fldChar w:fldCharType="separate"/>
          </w:r>
          <w:r>
            <w:t>43</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_Toc6098 </w:instrText>
          </w:r>
          <w:r>
            <w:rPr>
              <w:rFonts w:hint="eastAsia" w:ascii="黑体" w:hAnsi="宋体" w:eastAsia="黑体"/>
              <w:szCs w:val="48"/>
            </w:rPr>
            <w:fldChar w:fldCharType="separate"/>
          </w:r>
          <w:r>
            <w:rPr>
              <w:rFonts w:hint="eastAsia"/>
              <w:lang w:val="en-US" w:eastAsia="zh-CN"/>
            </w:rPr>
            <w:t>（二） 专业教学改革</w:t>
          </w:r>
          <w:r>
            <w:tab/>
          </w:r>
          <w:r>
            <w:fldChar w:fldCharType="begin"/>
          </w:r>
          <w:r>
            <w:instrText xml:space="preserve"> PAGEREF _Toc6098 \h </w:instrText>
          </w:r>
          <w:r>
            <w:fldChar w:fldCharType="separate"/>
          </w:r>
          <w:r>
            <w:t>45</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_Toc29916 </w:instrText>
          </w:r>
          <w:r>
            <w:rPr>
              <w:rFonts w:hint="eastAsia" w:ascii="黑体" w:hAnsi="宋体" w:eastAsia="黑体"/>
              <w:szCs w:val="48"/>
            </w:rPr>
            <w:fldChar w:fldCharType="separate"/>
          </w:r>
          <w:r>
            <w:rPr>
              <w:rFonts w:hint="eastAsia"/>
              <w:lang w:val="en-US" w:eastAsia="zh-CN"/>
            </w:rPr>
            <w:t>（三） 强化师资队伍建设情况</w:t>
          </w:r>
          <w:r>
            <w:tab/>
          </w:r>
          <w:r>
            <w:fldChar w:fldCharType="begin"/>
          </w:r>
          <w:r>
            <w:instrText xml:space="preserve"> PAGEREF _Toc29916 \h </w:instrText>
          </w:r>
          <w:r>
            <w:fldChar w:fldCharType="separate"/>
          </w:r>
          <w:r>
            <w:t>45</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_Toc25266 </w:instrText>
          </w:r>
          <w:r>
            <w:rPr>
              <w:rFonts w:hint="eastAsia" w:ascii="黑体" w:hAnsi="宋体" w:eastAsia="黑体"/>
              <w:szCs w:val="48"/>
            </w:rPr>
            <w:fldChar w:fldCharType="separate"/>
          </w:r>
          <w:r>
            <w:rPr>
              <w:rFonts w:hint="eastAsia"/>
              <w:lang w:val="en-US" w:eastAsia="zh-CN"/>
            </w:rPr>
            <w:t>（四） 课程建设情况</w:t>
          </w:r>
          <w:r>
            <w:tab/>
          </w:r>
          <w:r>
            <w:fldChar w:fldCharType="begin"/>
          </w:r>
          <w:r>
            <w:instrText xml:space="preserve"> PAGEREF _Toc25266 \h </w:instrText>
          </w:r>
          <w:r>
            <w:fldChar w:fldCharType="separate"/>
          </w:r>
          <w:r>
            <w:t>52</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_Toc22465 </w:instrText>
          </w:r>
          <w:r>
            <w:rPr>
              <w:rFonts w:hint="eastAsia" w:ascii="黑体" w:hAnsi="宋体" w:eastAsia="黑体"/>
              <w:szCs w:val="48"/>
            </w:rPr>
            <w:fldChar w:fldCharType="separate"/>
          </w:r>
          <w:r>
            <w:rPr>
              <w:rFonts w:hint="eastAsia"/>
              <w:lang w:val="en-US" w:eastAsia="zh-CN"/>
            </w:rPr>
            <w:t>（五） 人才培养模式改革</w:t>
          </w:r>
          <w:r>
            <w:tab/>
          </w:r>
          <w:r>
            <w:fldChar w:fldCharType="begin"/>
          </w:r>
          <w:r>
            <w:instrText xml:space="preserve"> PAGEREF _Toc22465 \h </w:instrText>
          </w:r>
          <w:r>
            <w:fldChar w:fldCharType="separate"/>
          </w:r>
          <w:r>
            <w:t>53</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_Toc5261 </w:instrText>
          </w:r>
          <w:r>
            <w:rPr>
              <w:rFonts w:hint="eastAsia" w:ascii="黑体" w:hAnsi="宋体" w:eastAsia="黑体"/>
              <w:szCs w:val="48"/>
            </w:rPr>
            <w:fldChar w:fldCharType="separate"/>
          </w:r>
          <w:r>
            <w:rPr>
              <w:rFonts w:hint="eastAsia"/>
              <w:lang w:val="en-US" w:eastAsia="zh-CN"/>
            </w:rPr>
            <w:t>（六） 教科研情况</w:t>
          </w:r>
          <w:r>
            <w:tab/>
          </w:r>
          <w:r>
            <w:fldChar w:fldCharType="begin"/>
          </w:r>
          <w:r>
            <w:instrText xml:space="preserve"> PAGEREF _Toc5261 \h </w:instrText>
          </w:r>
          <w:r>
            <w:fldChar w:fldCharType="separate"/>
          </w:r>
          <w:r>
            <w:t>54</w:t>
          </w:r>
          <w:r>
            <w:fldChar w:fldCharType="end"/>
          </w:r>
          <w:r>
            <w:rPr>
              <w:rFonts w:hint="eastAsia" w:ascii="黑体" w:hAnsi="宋体" w:eastAsia="黑体"/>
              <w:color w:val="auto"/>
              <w:szCs w:val="48"/>
            </w:rPr>
            <w:fldChar w:fldCharType="end"/>
          </w:r>
        </w:p>
        <w:p>
          <w:pPr>
            <w:pStyle w:val="12"/>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_Toc17198 </w:instrText>
          </w:r>
          <w:r>
            <w:rPr>
              <w:rFonts w:hint="eastAsia" w:ascii="黑体" w:hAnsi="宋体" w:eastAsia="黑体"/>
              <w:szCs w:val="48"/>
            </w:rPr>
            <w:fldChar w:fldCharType="separate"/>
          </w:r>
          <w:r>
            <w:rPr>
              <w:rFonts w:hint="eastAsia"/>
              <w:lang w:val="en-US" w:eastAsia="zh-CN"/>
            </w:rPr>
            <w:t>四、 政策保障</w:t>
          </w:r>
          <w:r>
            <w:tab/>
          </w:r>
          <w:r>
            <w:fldChar w:fldCharType="begin"/>
          </w:r>
          <w:r>
            <w:instrText xml:space="preserve"> PAGEREF _Toc17198 \h </w:instrText>
          </w:r>
          <w:r>
            <w:fldChar w:fldCharType="separate"/>
          </w:r>
          <w:r>
            <w:t>55</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_Toc7536 </w:instrText>
          </w:r>
          <w:r>
            <w:rPr>
              <w:rFonts w:hint="eastAsia" w:ascii="黑体" w:hAnsi="宋体" w:eastAsia="黑体"/>
              <w:szCs w:val="48"/>
            </w:rPr>
            <w:fldChar w:fldCharType="separate"/>
          </w:r>
          <w:r>
            <w:rPr>
              <w:rFonts w:hint="eastAsia"/>
              <w:lang w:val="en-US" w:eastAsia="zh-CN"/>
            </w:rPr>
            <w:t>（一） 政策、财政专项的落实情况</w:t>
          </w:r>
          <w:r>
            <w:tab/>
          </w:r>
          <w:r>
            <w:fldChar w:fldCharType="begin"/>
          </w:r>
          <w:r>
            <w:instrText xml:space="preserve"> PAGEREF _Toc7536 \h </w:instrText>
          </w:r>
          <w:r>
            <w:fldChar w:fldCharType="separate"/>
          </w:r>
          <w:r>
            <w:t>55</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_Toc23722 </w:instrText>
          </w:r>
          <w:r>
            <w:rPr>
              <w:rFonts w:hint="eastAsia" w:ascii="黑体" w:hAnsi="宋体" w:eastAsia="黑体"/>
              <w:szCs w:val="48"/>
            </w:rPr>
            <w:fldChar w:fldCharType="separate"/>
          </w:r>
          <w:r>
            <w:rPr>
              <w:rFonts w:hint="eastAsia" w:ascii="Arial" w:hAnsi="Arial"/>
              <w:lang w:val="en-US" w:eastAsia="zh-CN"/>
            </w:rPr>
            <w:t>（二） 打造服务型心理健康工作机制、力保校园心理健康零事故</w:t>
          </w:r>
          <w:r>
            <w:tab/>
          </w:r>
          <w:r>
            <w:fldChar w:fldCharType="begin"/>
          </w:r>
          <w:r>
            <w:instrText xml:space="preserve"> PAGEREF _Toc23722 \h </w:instrText>
          </w:r>
          <w:r>
            <w:fldChar w:fldCharType="separate"/>
          </w:r>
          <w:r>
            <w:t>56</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_Toc29611 </w:instrText>
          </w:r>
          <w:r>
            <w:rPr>
              <w:rFonts w:hint="eastAsia" w:ascii="黑体" w:hAnsi="宋体" w:eastAsia="黑体"/>
              <w:szCs w:val="48"/>
            </w:rPr>
            <w:fldChar w:fldCharType="separate"/>
          </w:r>
          <w:r>
            <w:rPr>
              <w:rFonts w:hint="eastAsia"/>
              <w:lang w:val="en-US" w:eastAsia="zh-CN"/>
            </w:rPr>
            <w:t>（三） 质量保障的落实与成效</w:t>
          </w:r>
          <w:r>
            <w:tab/>
          </w:r>
          <w:r>
            <w:fldChar w:fldCharType="begin"/>
          </w:r>
          <w:r>
            <w:instrText xml:space="preserve"> PAGEREF _Toc29611 \h </w:instrText>
          </w:r>
          <w:r>
            <w:fldChar w:fldCharType="separate"/>
          </w:r>
          <w:r>
            <w:t>77</w:t>
          </w:r>
          <w:r>
            <w:fldChar w:fldCharType="end"/>
          </w:r>
          <w:r>
            <w:rPr>
              <w:rFonts w:hint="eastAsia" w:ascii="黑体" w:hAnsi="宋体" w:eastAsia="黑体"/>
              <w:color w:val="auto"/>
              <w:szCs w:val="48"/>
            </w:rPr>
            <w:fldChar w:fldCharType="end"/>
          </w:r>
        </w:p>
        <w:p>
          <w:pPr>
            <w:pStyle w:val="12"/>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_Toc13449 </w:instrText>
          </w:r>
          <w:r>
            <w:rPr>
              <w:rFonts w:hint="eastAsia" w:ascii="黑体" w:hAnsi="宋体" w:eastAsia="黑体"/>
              <w:szCs w:val="48"/>
            </w:rPr>
            <w:fldChar w:fldCharType="separate"/>
          </w:r>
          <w:r>
            <w:rPr>
              <w:rFonts w:hint="eastAsia"/>
              <w:lang w:val="en-US" w:eastAsia="zh-CN"/>
            </w:rPr>
            <w:t>五、 国际合作情况</w:t>
          </w:r>
          <w:r>
            <w:tab/>
          </w:r>
          <w:r>
            <w:fldChar w:fldCharType="begin"/>
          </w:r>
          <w:r>
            <w:instrText xml:space="preserve"> PAGEREF _Toc13449 \h </w:instrText>
          </w:r>
          <w:r>
            <w:fldChar w:fldCharType="separate"/>
          </w:r>
          <w:r>
            <w:t>86</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_Toc5249 </w:instrText>
          </w:r>
          <w:r>
            <w:rPr>
              <w:rFonts w:hint="eastAsia" w:ascii="黑体" w:hAnsi="宋体" w:eastAsia="黑体"/>
              <w:szCs w:val="48"/>
            </w:rPr>
            <w:fldChar w:fldCharType="separate"/>
          </w:r>
          <w:r>
            <w:rPr>
              <w:rFonts w:hint="eastAsia"/>
              <w:lang w:val="en-US" w:eastAsia="zh-CN"/>
            </w:rPr>
            <w:t>（一） 暂未开展有关工作</w:t>
          </w:r>
          <w:r>
            <w:tab/>
          </w:r>
          <w:r>
            <w:fldChar w:fldCharType="begin"/>
          </w:r>
          <w:r>
            <w:instrText xml:space="preserve"> PAGEREF _Toc5249 \h </w:instrText>
          </w:r>
          <w:r>
            <w:fldChar w:fldCharType="separate"/>
          </w:r>
          <w:r>
            <w:t>86</w:t>
          </w:r>
          <w:r>
            <w:fldChar w:fldCharType="end"/>
          </w:r>
          <w:r>
            <w:rPr>
              <w:rFonts w:hint="eastAsia" w:ascii="黑体" w:hAnsi="宋体" w:eastAsia="黑体"/>
              <w:color w:val="auto"/>
              <w:szCs w:val="48"/>
            </w:rPr>
            <w:fldChar w:fldCharType="end"/>
          </w:r>
        </w:p>
        <w:p>
          <w:pPr>
            <w:pStyle w:val="12"/>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_Toc12370 </w:instrText>
          </w:r>
          <w:r>
            <w:rPr>
              <w:rFonts w:hint="eastAsia" w:ascii="黑体" w:hAnsi="宋体" w:eastAsia="黑体"/>
              <w:szCs w:val="48"/>
            </w:rPr>
            <w:fldChar w:fldCharType="separate"/>
          </w:r>
          <w:r>
            <w:rPr>
              <w:rFonts w:hint="eastAsia"/>
              <w:lang w:val="en-US" w:eastAsia="zh-CN"/>
            </w:rPr>
            <w:t>六、 服务贡献情况</w:t>
          </w:r>
          <w:r>
            <w:tab/>
          </w:r>
          <w:r>
            <w:fldChar w:fldCharType="begin"/>
          </w:r>
          <w:r>
            <w:instrText xml:space="preserve"> PAGEREF _Toc12370 \h </w:instrText>
          </w:r>
          <w:r>
            <w:fldChar w:fldCharType="separate"/>
          </w:r>
          <w:r>
            <w:t>86</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_Toc32611 </w:instrText>
          </w:r>
          <w:r>
            <w:rPr>
              <w:rFonts w:hint="eastAsia" w:ascii="黑体" w:hAnsi="宋体" w:eastAsia="黑体"/>
              <w:szCs w:val="48"/>
            </w:rPr>
            <w:fldChar w:fldCharType="separate"/>
          </w:r>
          <w:r>
            <w:rPr>
              <w:rFonts w:hint="eastAsia"/>
              <w:lang w:val="en-US" w:eastAsia="zh-CN"/>
            </w:rPr>
            <w:t>（一） 社会服务</w:t>
          </w:r>
          <w:r>
            <w:tab/>
          </w:r>
          <w:r>
            <w:fldChar w:fldCharType="begin"/>
          </w:r>
          <w:r>
            <w:instrText xml:space="preserve"> PAGEREF _Toc32611 \h </w:instrText>
          </w:r>
          <w:r>
            <w:fldChar w:fldCharType="separate"/>
          </w:r>
          <w:r>
            <w:t>86</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_Toc27029 </w:instrText>
          </w:r>
          <w:r>
            <w:rPr>
              <w:rFonts w:hint="eastAsia" w:ascii="黑体" w:hAnsi="宋体" w:eastAsia="黑体"/>
              <w:szCs w:val="48"/>
            </w:rPr>
            <w:fldChar w:fldCharType="separate"/>
          </w:r>
          <w:r>
            <w:rPr>
              <w:rFonts w:hint="eastAsia"/>
              <w:lang w:val="en-US" w:eastAsia="zh-CN"/>
            </w:rPr>
            <w:t>（二） 对口支援</w:t>
          </w:r>
          <w:r>
            <w:tab/>
          </w:r>
          <w:r>
            <w:fldChar w:fldCharType="begin"/>
          </w:r>
          <w:r>
            <w:instrText xml:space="preserve"> PAGEREF _Toc27029 \h </w:instrText>
          </w:r>
          <w:r>
            <w:fldChar w:fldCharType="separate"/>
          </w:r>
          <w:r>
            <w:t>87</w:t>
          </w:r>
          <w:r>
            <w:fldChar w:fldCharType="end"/>
          </w:r>
          <w:r>
            <w:rPr>
              <w:rFonts w:hint="eastAsia" w:ascii="黑体" w:hAnsi="宋体" w:eastAsia="黑体"/>
              <w:color w:val="auto"/>
              <w:szCs w:val="48"/>
            </w:rPr>
            <w:fldChar w:fldCharType="end"/>
          </w:r>
        </w:p>
        <w:p>
          <w:pPr>
            <w:pStyle w:val="12"/>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_Toc10234 </w:instrText>
          </w:r>
          <w:r>
            <w:rPr>
              <w:rFonts w:hint="eastAsia" w:ascii="黑体" w:hAnsi="宋体" w:eastAsia="黑体"/>
              <w:szCs w:val="48"/>
            </w:rPr>
            <w:fldChar w:fldCharType="separate"/>
          </w:r>
          <w:r>
            <w:rPr>
              <w:rFonts w:hint="eastAsia"/>
              <w:lang w:val="en-US" w:eastAsia="zh-CN"/>
            </w:rPr>
            <w:t>七、 面临挑战</w:t>
          </w:r>
          <w:r>
            <w:tab/>
          </w:r>
          <w:r>
            <w:fldChar w:fldCharType="begin"/>
          </w:r>
          <w:r>
            <w:instrText xml:space="preserve"> PAGEREF _Toc10234 \h </w:instrText>
          </w:r>
          <w:r>
            <w:fldChar w:fldCharType="separate"/>
          </w:r>
          <w:r>
            <w:t>88</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_Toc11338 </w:instrText>
          </w:r>
          <w:r>
            <w:rPr>
              <w:rFonts w:hint="eastAsia" w:ascii="黑体" w:hAnsi="宋体" w:eastAsia="黑体"/>
              <w:szCs w:val="48"/>
            </w:rPr>
            <w:fldChar w:fldCharType="separate"/>
          </w:r>
          <w:r>
            <w:rPr>
              <w:rFonts w:hint="eastAsia"/>
              <w:lang w:val="en-US" w:eastAsia="zh-CN"/>
            </w:rPr>
            <w:t>（一） 存在的问题及挑战</w:t>
          </w:r>
          <w:r>
            <w:tab/>
          </w:r>
          <w:r>
            <w:fldChar w:fldCharType="begin"/>
          </w:r>
          <w:r>
            <w:instrText xml:space="preserve"> PAGEREF _Toc11338 \h </w:instrText>
          </w:r>
          <w:r>
            <w:fldChar w:fldCharType="separate"/>
          </w:r>
          <w:r>
            <w:t>88</w:t>
          </w:r>
          <w:r>
            <w:fldChar w:fldCharType="end"/>
          </w:r>
          <w:r>
            <w:rPr>
              <w:rFonts w:hint="eastAsia" w:ascii="黑体" w:hAnsi="宋体" w:eastAsia="黑体"/>
              <w:color w:val="auto"/>
              <w:szCs w:val="48"/>
            </w:rPr>
            <w:fldChar w:fldCharType="end"/>
          </w:r>
        </w:p>
        <w:p>
          <w:pPr>
            <w:pStyle w:val="14"/>
            <w:tabs>
              <w:tab w:val="right" w:leader="dot" w:pos="8306"/>
            </w:tabs>
          </w:pPr>
          <w:r>
            <w:rPr>
              <w:rFonts w:hint="eastAsia" w:ascii="黑体" w:hAnsi="宋体" w:eastAsia="黑体"/>
              <w:color w:val="auto"/>
              <w:szCs w:val="48"/>
            </w:rPr>
            <w:fldChar w:fldCharType="begin"/>
          </w:r>
          <w:r>
            <w:rPr>
              <w:rFonts w:hint="eastAsia" w:ascii="黑体" w:hAnsi="宋体" w:eastAsia="黑体"/>
              <w:szCs w:val="48"/>
            </w:rPr>
            <w:instrText xml:space="preserve"> HYPERLINK \l _Toc32140 </w:instrText>
          </w:r>
          <w:r>
            <w:rPr>
              <w:rFonts w:hint="eastAsia" w:ascii="黑体" w:hAnsi="宋体" w:eastAsia="黑体"/>
              <w:szCs w:val="48"/>
            </w:rPr>
            <w:fldChar w:fldCharType="separate"/>
          </w:r>
          <w:r>
            <w:rPr>
              <w:rFonts w:hint="eastAsia"/>
              <w:lang w:val="en-US" w:eastAsia="zh-CN"/>
            </w:rPr>
            <w:t>（二） 接下来工作方向和相关措施</w:t>
          </w:r>
          <w:r>
            <w:tab/>
          </w:r>
          <w:r>
            <w:fldChar w:fldCharType="begin"/>
          </w:r>
          <w:r>
            <w:instrText xml:space="preserve"> PAGEREF _Toc32140 \h </w:instrText>
          </w:r>
          <w:r>
            <w:fldChar w:fldCharType="separate"/>
          </w:r>
          <w:r>
            <w:t>88</w:t>
          </w:r>
          <w:r>
            <w:fldChar w:fldCharType="end"/>
          </w:r>
          <w:r>
            <w:rPr>
              <w:rFonts w:hint="eastAsia" w:ascii="黑体" w:hAnsi="宋体" w:eastAsia="黑体"/>
              <w:color w:val="auto"/>
              <w:szCs w:val="48"/>
            </w:rPr>
            <w:fldChar w:fldCharType="end"/>
          </w:r>
        </w:p>
        <w:p>
          <w:pPr>
            <w:keepNext w:val="0"/>
            <w:keepLines w:val="0"/>
            <w:pageBreakBefore w:val="0"/>
            <w:kinsoku/>
            <w:wordWrap/>
            <w:overflowPunct/>
            <w:topLinePunct w:val="0"/>
            <w:autoSpaceDE/>
            <w:autoSpaceDN/>
            <w:bidi w:val="0"/>
            <w:adjustRightInd/>
            <w:snapToGrid/>
            <w:spacing w:line="312" w:lineRule="auto"/>
            <w:ind w:firstLine="0" w:firstLineChars="0"/>
            <w:jc w:val="center"/>
            <w:textAlignment w:val="auto"/>
            <w:rPr>
              <w:rFonts w:hint="eastAsia" w:ascii="黑体" w:hAnsi="宋体" w:eastAsia="黑体"/>
              <w:b/>
              <w:color w:val="auto"/>
              <w:sz w:val="36"/>
              <w:szCs w:val="36"/>
            </w:rPr>
            <w:sectPr>
              <w:pgSz w:w="11906" w:h="16838"/>
              <w:pgMar w:top="1440" w:right="1800" w:bottom="1440" w:left="1800" w:header="851" w:footer="992" w:gutter="0"/>
              <w:pgNumType w:fmt="decimal" w:start="1"/>
              <w:cols w:space="425" w:num="1"/>
              <w:docGrid w:type="lines" w:linePitch="312" w:charSpace="0"/>
            </w:sectPr>
          </w:pPr>
          <w:r>
            <w:rPr>
              <w:rFonts w:hint="eastAsia" w:ascii="黑体" w:hAnsi="宋体" w:eastAsia="黑体"/>
              <w:color w:val="auto"/>
              <w:szCs w:val="48"/>
            </w:rPr>
            <w:fldChar w:fldCharType="end"/>
          </w:r>
        </w:p>
      </w:sdtContent>
    </w:sdt>
    <w:p>
      <w:pPr>
        <w:ind w:firstLine="0" w:firstLineChars="0"/>
        <w:jc w:val="center"/>
        <w:outlineLvl w:val="0"/>
        <w:rPr>
          <w:rFonts w:hint="eastAsia" w:ascii="黑体" w:hAnsi="宋体" w:eastAsia="黑体"/>
          <w:b/>
          <w:color w:val="auto"/>
          <w:sz w:val="36"/>
          <w:szCs w:val="36"/>
        </w:rPr>
      </w:pPr>
      <w:bookmarkStart w:id="0" w:name="_Toc6881"/>
      <w:bookmarkStart w:id="1" w:name="_Toc30563"/>
      <w:bookmarkStart w:id="2" w:name="_Toc31684"/>
      <w:r>
        <w:rPr>
          <w:rFonts w:hint="eastAsia" w:ascii="黑体" w:hAnsi="宋体" w:eastAsia="黑体"/>
          <w:b/>
          <w:color w:val="auto"/>
          <w:sz w:val="36"/>
          <w:szCs w:val="36"/>
        </w:rPr>
        <w:t>揭阳捷和职业技术学校</w:t>
      </w:r>
      <w:bookmarkEnd w:id="0"/>
      <w:bookmarkEnd w:id="1"/>
      <w:bookmarkEnd w:id="2"/>
    </w:p>
    <w:p>
      <w:pPr>
        <w:ind w:left="0" w:leftChars="0" w:firstLine="0" w:firstLineChars="0"/>
        <w:jc w:val="center"/>
        <w:outlineLvl w:val="0"/>
        <w:rPr>
          <w:b/>
          <w:bCs/>
          <w:sz w:val="28"/>
          <w:szCs w:val="28"/>
        </w:rPr>
      </w:pPr>
      <w:bookmarkStart w:id="3" w:name="_Toc30394"/>
      <w:bookmarkStart w:id="4" w:name="_Toc16559"/>
      <w:bookmarkStart w:id="5" w:name="_Toc11261"/>
      <w:r>
        <w:rPr>
          <w:rFonts w:hint="eastAsia" w:ascii="黑体" w:hAnsi="宋体" w:eastAsia="黑体"/>
          <w:b/>
          <w:color w:val="auto"/>
          <w:sz w:val="36"/>
          <w:szCs w:val="36"/>
        </w:rPr>
        <w:t>中等职业教育人才培养质量年度报告（</w:t>
      </w:r>
      <w:r>
        <w:rPr>
          <w:rFonts w:hint="eastAsia" w:ascii="黑体" w:hAnsi="宋体" w:eastAsia="黑体"/>
          <w:b/>
          <w:color w:val="auto"/>
          <w:sz w:val="36"/>
          <w:szCs w:val="36"/>
          <w:lang w:val="en-US" w:eastAsia="zh-CN"/>
        </w:rPr>
        <w:t>2022</w:t>
      </w:r>
      <w:r>
        <w:rPr>
          <w:rFonts w:hint="eastAsia" w:ascii="黑体" w:hAnsi="宋体" w:eastAsia="黑体"/>
          <w:b/>
          <w:color w:val="auto"/>
          <w:sz w:val="36"/>
          <w:szCs w:val="36"/>
        </w:rPr>
        <w:t>年）</w:t>
      </w:r>
      <w:bookmarkEnd w:id="3"/>
      <w:bookmarkEnd w:id="4"/>
      <w:bookmarkEnd w:id="5"/>
    </w:p>
    <w:p>
      <w:pPr>
        <w:pStyle w:val="2"/>
        <w:bidi w:val="0"/>
        <w:ind w:left="60" w:leftChars="0" w:firstLine="720" w:firstLineChars="0"/>
      </w:pPr>
      <w:bookmarkStart w:id="6" w:name="_Toc27783"/>
      <w:r>
        <w:rPr>
          <w:rFonts w:hint="eastAsia"/>
        </w:rPr>
        <w:t>学校概况</w:t>
      </w:r>
      <w:bookmarkEnd w:id="6"/>
    </w:p>
    <w:p>
      <w:pPr>
        <w:pStyle w:val="3"/>
        <w:bidi w:val="0"/>
        <w:ind w:left="60" w:leftChars="0" w:firstLine="420" w:firstLineChars="0"/>
      </w:pPr>
      <w:bookmarkStart w:id="7" w:name="_Toc9270"/>
      <w:r>
        <w:rPr>
          <w:rFonts w:hint="eastAsia"/>
        </w:rPr>
        <w:t>学校基本情况</w:t>
      </w:r>
      <w:bookmarkEnd w:id="7"/>
    </w:p>
    <w:p>
      <w:pPr>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揭阳捷和职业技术学校是一所公办的全日制国家级重点中等职业学校，是揭阳市第一家公立中职学校，广东省第一家华侨捐资创办的职校，也是第一批（2000年）国家级重点中等职业学校。</w:t>
      </w:r>
    </w:p>
    <w:p>
      <w:pPr>
        <w:spacing w:line="360" w:lineRule="auto"/>
        <w:ind w:firstLine="480" w:firstLineChars="200"/>
        <w:rPr>
          <w:rFonts w:ascii="宋体" w:hAnsi="宋体" w:eastAsia="宋体" w:cs="宋体"/>
          <w:color w:val="000000"/>
          <w:sz w:val="24"/>
        </w:rPr>
      </w:pPr>
      <w:r>
        <w:rPr>
          <w:rFonts w:hint="eastAsia" w:ascii="宋体" w:hAnsi="宋体" w:eastAsia="宋体" w:cs="宋体"/>
          <w:color w:val="000000"/>
          <w:sz w:val="24"/>
        </w:rPr>
        <w:t>校园占地面积150多亩，在校生达到3000多人，建筑面积近8万平方米，拥有教学大楼、实训中心、信息网络中心、培训中心、图书馆、学生宿舍楼、食堂、办公楼及各种配套设施。规划建设培训楼、艺术楼和教师宿舍楼各1座，将改造升级足球场等体育设施。</w:t>
      </w:r>
    </w:p>
    <w:p>
      <w:pPr>
        <w:pStyle w:val="3"/>
        <w:bidi w:val="0"/>
        <w:ind w:left="60" w:leftChars="0" w:firstLine="420" w:firstLineChars="0"/>
        <w:rPr>
          <w:rFonts w:hint="eastAsia"/>
          <w:b/>
          <w:lang w:val="en-US" w:eastAsia="zh-CN"/>
        </w:rPr>
      </w:pPr>
      <w:bookmarkStart w:id="8" w:name="_Toc2676"/>
      <w:r>
        <w:rPr>
          <w:rFonts w:hint="eastAsia"/>
          <w:b/>
          <w:lang w:val="en-US" w:eastAsia="zh-CN"/>
        </w:rPr>
        <w:t>学校师资队伍基本情况</w:t>
      </w:r>
      <w:bookmarkEnd w:id="8"/>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现有额定编制数187，在编在职教职员工184人，另有外聘能工巧匠30多名。经过不断优化，我校目前拥有硕士研究生以上学历7人，在读硕士研究生6人，专任教师本科以上学历100%，具有高级技术职称33人，占专任教师总数的19.4%；特级教师2人，南粤优秀教师5人，南粤优秀教育工作者1人，潮汕星河辉勇师表奖2人，2020年揭阳市中高级人才43人；广东省职业教育学会专业指导委员会理事3人，第八、九期榕城区优秀专家和拔尖人才1人，2021年揭阳市教学名师1人，多名市、省、国家教学评估专家；专业教师108人，占专任教师数的63.5%，其中“双师型”教师108人。</w:t>
      </w:r>
    </w:p>
    <w:p>
      <w:pPr>
        <w:ind w:firstLine="480"/>
        <w:rPr>
          <w:rFonts w:hAnsi="宋体" w:cs="Times New Roman"/>
          <w:color w:val="000000"/>
          <w:szCs w:val="21"/>
        </w:rPr>
      </w:pPr>
    </w:p>
    <w:p>
      <w:pPr>
        <w:ind w:firstLine="480"/>
        <w:jc w:val="center"/>
        <w:rPr>
          <w:rFonts w:ascii="仿宋_GB2312" w:hAnsi="Courier New" w:eastAsia="仿宋_GB2312"/>
        </w:rPr>
      </w:pPr>
      <w:r>
        <w:rPr>
          <w:rFonts w:ascii="仿宋_GB2312" w:hAnsi="Courier New" w:eastAsia="仿宋_GB2312"/>
        </w:rPr>
        <w:drawing>
          <wp:inline distT="0" distB="0" distL="114300" distR="114300">
            <wp:extent cx="4396105" cy="2512695"/>
            <wp:effectExtent l="0" t="0" r="4445" b="1905"/>
            <wp:docPr id="4"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2"/>
                    <pic:cNvPicPr>
                      <a:picLocks noChangeAspect="1"/>
                    </pic:cNvPicPr>
                  </pic:nvPicPr>
                  <pic:blipFill>
                    <a:blip r:embed="rId6"/>
                    <a:stretch>
                      <a:fillRect/>
                    </a:stretch>
                  </pic:blipFill>
                  <pic:spPr>
                    <a:xfrm>
                      <a:off x="0" y="0"/>
                      <a:ext cx="4396105" cy="2512695"/>
                    </a:xfrm>
                    <a:prstGeom prst="rect">
                      <a:avLst/>
                    </a:prstGeom>
                    <a:noFill/>
                    <a:ln>
                      <a:noFill/>
                    </a:ln>
                  </pic:spPr>
                </pic:pic>
              </a:graphicData>
            </a:graphic>
          </wp:inline>
        </w:drawing>
      </w:r>
    </w:p>
    <w:p>
      <w:pPr>
        <w:ind w:firstLine="480"/>
        <w:jc w:val="center"/>
        <w:rPr>
          <w:rFonts w:ascii="仿宋_GB2312" w:hAnsi="Courier New" w:eastAsia="仿宋_GB2312"/>
        </w:rPr>
      </w:pPr>
      <w:r>
        <w:rPr>
          <w:rFonts w:hint="eastAsia" w:ascii="仿宋_GB2312" w:hAnsi="Courier New" w:eastAsia="仿宋_GB2312"/>
        </w:rPr>
        <w:t>图1.1-1梅云校区校门</w:t>
      </w:r>
    </w:p>
    <w:p>
      <w:pPr>
        <w:ind w:firstLine="480"/>
        <w:jc w:val="center"/>
        <w:rPr>
          <w:rFonts w:ascii="仿宋_GB2312" w:hAnsi="Courier New" w:eastAsia="仿宋_GB2312"/>
        </w:rPr>
      </w:pPr>
      <w:r>
        <w:rPr>
          <w:rFonts w:ascii="仿宋_GB2312" w:hAnsi="Courier New" w:eastAsia="仿宋_GB2312"/>
        </w:rPr>
        <w:drawing>
          <wp:inline distT="0" distB="0" distL="114300" distR="114300">
            <wp:extent cx="4399915" cy="2319020"/>
            <wp:effectExtent l="0" t="0" r="635" b="5080"/>
            <wp:docPr id="20" name="图片 2" descr="学校正面全景图IMG_980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学校正面全景图IMG_9806 (1)"/>
                    <pic:cNvPicPr>
                      <a:picLocks noChangeAspect="1"/>
                    </pic:cNvPicPr>
                  </pic:nvPicPr>
                  <pic:blipFill>
                    <a:blip r:embed="rId7"/>
                    <a:stretch>
                      <a:fillRect/>
                    </a:stretch>
                  </pic:blipFill>
                  <pic:spPr>
                    <a:xfrm>
                      <a:off x="0" y="0"/>
                      <a:ext cx="4399915" cy="2319020"/>
                    </a:xfrm>
                    <a:prstGeom prst="rect">
                      <a:avLst/>
                    </a:prstGeom>
                    <a:noFill/>
                    <a:ln>
                      <a:noFill/>
                    </a:ln>
                  </pic:spPr>
                </pic:pic>
              </a:graphicData>
            </a:graphic>
          </wp:inline>
        </w:drawing>
      </w:r>
    </w:p>
    <w:p>
      <w:pPr>
        <w:ind w:firstLine="480"/>
        <w:jc w:val="center"/>
        <w:rPr>
          <w:rFonts w:ascii="仿宋_GB2312" w:hAnsi="Courier New" w:eastAsia="仿宋_GB2312"/>
        </w:rPr>
      </w:pPr>
      <w:r>
        <w:rPr>
          <w:rFonts w:hint="eastAsia" w:ascii="仿宋_GB2312" w:hAnsi="Courier New" w:eastAsia="仿宋_GB2312"/>
        </w:rPr>
        <w:t>图1.1-2梅云校区全景</w:t>
      </w:r>
    </w:p>
    <w:p>
      <w:pPr>
        <w:ind w:firstLine="480"/>
        <w:jc w:val="center"/>
        <w:rPr>
          <w:rFonts w:ascii="仿宋_GB2312" w:hAnsi="Courier New" w:eastAsia="仿宋_GB2312"/>
        </w:rPr>
      </w:pPr>
      <w:r>
        <w:rPr>
          <w:rFonts w:ascii="仿宋_GB2312" w:hAnsi="Courier New" w:eastAsia="仿宋_GB2312"/>
        </w:rPr>
        <w:drawing>
          <wp:inline distT="0" distB="0" distL="114300" distR="114300">
            <wp:extent cx="4361815" cy="2458085"/>
            <wp:effectExtent l="0" t="0" r="635" b="18415"/>
            <wp:docPr id="22" name="图片 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55"/>
                    <pic:cNvPicPr>
                      <a:picLocks noChangeAspect="1"/>
                    </pic:cNvPicPr>
                  </pic:nvPicPr>
                  <pic:blipFill>
                    <a:blip r:embed="rId8"/>
                    <a:stretch>
                      <a:fillRect/>
                    </a:stretch>
                  </pic:blipFill>
                  <pic:spPr>
                    <a:xfrm>
                      <a:off x="0" y="0"/>
                      <a:ext cx="4361815" cy="2458085"/>
                    </a:xfrm>
                    <a:prstGeom prst="rect">
                      <a:avLst/>
                    </a:prstGeom>
                    <a:noFill/>
                    <a:ln>
                      <a:noFill/>
                    </a:ln>
                  </pic:spPr>
                </pic:pic>
              </a:graphicData>
            </a:graphic>
          </wp:inline>
        </w:drawing>
      </w:r>
    </w:p>
    <w:p>
      <w:pPr>
        <w:ind w:firstLine="480"/>
        <w:jc w:val="center"/>
        <w:rPr>
          <w:rFonts w:ascii="仿宋_GB2312" w:hAnsi="Courier New" w:eastAsia="仿宋_GB2312"/>
        </w:rPr>
      </w:pPr>
      <w:r>
        <w:rPr>
          <w:rFonts w:hint="eastAsia" w:ascii="仿宋_GB2312" w:hAnsi="Courier New" w:eastAsia="仿宋_GB2312"/>
        </w:rPr>
        <w:t>图1.1-3梅云校区田径场</w:t>
      </w:r>
    </w:p>
    <w:p>
      <w:pPr>
        <w:pStyle w:val="3"/>
        <w:bidi w:val="0"/>
        <w:ind w:left="60" w:leftChars="0" w:firstLine="482" w:firstLineChars="0"/>
        <w:rPr>
          <w:rFonts w:hint="eastAsia"/>
          <w:b/>
          <w:lang w:val="en-US" w:eastAsia="zh-CN"/>
        </w:rPr>
      </w:pPr>
      <w:bookmarkStart w:id="9" w:name="_Toc1098"/>
      <w:r>
        <w:rPr>
          <w:rFonts w:hint="eastAsia"/>
          <w:b/>
          <w:lang w:val="en-US" w:eastAsia="zh-CN"/>
        </w:rPr>
        <w:t>学校专业基本情况</w:t>
      </w:r>
      <w:bookmarkEnd w:id="9"/>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在2013年8月设立计机、机电、财贸、文艺四个专业教学部和实训部，实行校部二级管理机制。有电子信息技术、机电技术应用、数控技术应用、汽车运用与维修、计算机应用、动漫与游戏制作、电子商务、会计事务、中餐烹饪、幼儿保育、艺术设计与制作、音乐表演、航空服务、数字媒体技术应用等14招生专业。其中有省级重点建设专业3个分别是：电子信息技术（2004年）、机电技术应用（2012年）、计算机应用（2013年）。省中等职业教育“双精准”示范专业建设4个：动漫与游戏制作（2018年第一批立项专业）、幼儿保育（2019年第二批立项专业）、电子商务和中餐烹饪（2021年第三批立项专业）。各专业均建有相对应的校外实习实训基地一批，目前学校专业实训场室93间，公共计算机房18间，总建筑面积2.2万多平方米，本年度新增教学仪器设备289.72万元，实训设备总值4339万多元。</w:t>
      </w:r>
    </w:p>
    <w:p>
      <w:pPr>
        <w:pStyle w:val="3"/>
        <w:bidi w:val="0"/>
        <w:ind w:left="60" w:leftChars="0" w:firstLine="420" w:firstLineChars="0"/>
        <w:rPr>
          <w:rFonts w:hint="eastAsia"/>
          <w:b/>
          <w:lang w:val="en-US" w:eastAsia="zh-CN"/>
        </w:rPr>
      </w:pPr>
      <w:bookmarkStart w:id="10" w:name="_Toc21445"/>
      <w:r>
        <w:rPr>
          <w:rFonts w:hint="eastAsia"/>
          <w:b/>
          <w:lang w:val="en-US" w:eastAsia="zh-CN"/>
        </w:rPr>
        <w:t>学校办学条件综合分析</w:t>
      </w:r>
      <w:bookmarkEnd w:id="10"/>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目前教职员工额定编制数为187人，目前在编在职184人；专任教师179人，较上一学年度专任教师153人，增加了26人；在2020至2021学年度全日制在校生人数3028人，相较上一学年度3196人减少了168人。生师比也由上一学年度的1：:20.89上升到1：16.91。</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在校园占地总面积及校舍建筑总面积不变的情况下，生均校园占地面积及生均校舍建筑面积均略有提升，分别为生均校园占地面积33.03平方米，生均校舍建筑面积24.63平方米。</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教学仪器设备总值由于《广东省职业教育“扩容、提质、强服务”三年行动计划（2019-2021年）》深入开展，较上一学年度新增仪器设备289.72万元，达到了4339万多元，生均教学仪器设备值达到了14330.73元。纸质图书数为56755册，较上一学年度增加了6219册，电子图书数保持不变仍为14478册。</w:t>
      </w:r>
    </w:p>
    <w:p>
      <w:pPr>
        <w:ind w:firstLine="480"/>
        <w:jc w:val="center"/>
        <w:rPr>
          <w:rFonts w:ascii="仿宋_GB2312" w:hAnsi="Courier New" w:eastAsia="仿宋_GB2312"/>
        </w:rPr>
      </w:pPr>
    </w:p>
    <w:p>
      <w:pPr>
        <w:pStyle w:val="2"/>
        <w:bidi w:val="0"/>
        <w:ind w:left="60" w:leftChars="0" w:firstLine="720" w:firstLineChars="0"/>
        <w:rPr>
          <w:rFonts w:hint="eastAsia"/>
          <w:b/>
          <w:lang w:val="en-US" w:eastAsia="zh-CN"/>
        </w:rPr>
      </w:pPr>
      <w:bookmarkStart w:id="11" w:name="_Toc9806"/>
      <w:r>
        <w:rPr>
          <w:rFonts w:hint="eastAsia"/>
          <w:b/>
          <w:lang w:val="en-US" w:eastAsia="zh-CN"/>
        </w:rPr>
        <w:t>学生发展</w:t>
      </w:r>
      <w:bookmarkEnd w:id="11"/>
    </w:p>
    <w:p>
      <w:pPr>
        <w:pStyle w:val="3"/>
        <w:numPr>
          <w:ilvl w:val="0"/>
          <w:numId w:val="7"/>
        </w:numPr>
        <w:bidi w:val="0"/>
        <w:ind w:left="60" w:leftChars="0" w:firstLine="420" w:firstLineChars="0"/>
        <w:rPr>
          <w:rFonts w:hint="eastAsia"/>
          <w:b/>
          <w:lang w:val="en-US" w:eastAsia="zh-CN"/>
        </w:rPr>
      </w:pPr>
      <w:bookmarkStart w:id="12" w:name="_Toc17402"/>
      <w:r>
        <w:rPr>
          <w:rFonts w:hint="eastAsia"/>
          <w:b/>
          <w:lang w:val="en-US" w:eastAsia="zh-CN"/>
        </w:rPr>
        <w:t>学生德育素质工作</w:t>
      </w:r>
      <w:bookmarkEnd w:id="12"/>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 学生德育素质教育一直以来都是我校的一项核心工作，一直以来学校秉持“责任高于一切，发展在于努力”的校训，以培养“性格开朗、兴趣广发、一技之长、社会欢迎”这一目标，积极开展学生德育工作，为社会培养身心健康，技能出众的综合型技能人才。以下将从10个方面报告学生德育素质教育工作情况。</w:t>
      </w:r>
    </w:p>
    <w:p>
      <w:pPr>
        <w:pStyle w:val="4"/>
        <w:bidi w:val="0"/>
        <w:ind w:left="425" w:leftChars="0" w:firstLine="53" w:firstLineChars="19"/>
      </w:pPr>
      <w:r>
        <w:rPr>
          <w:rFonts w:hint="eastAsia"/>
        </w:rPr>
        <w:t>学生处工作职责</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学生处在分管德育副校长的直接领导下，负责学生教育德育管理和文体卫生等工作。其主要职能为：</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根据教育部《中等职业学校德育大纲》和学校工作计划，制定学生处学期德育工作计划，认真组织实施，并认真做好学期德育工作总结。</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协助分管德育副校长选配好学生管理组长、学生管理员、班主任，经校长同意组织实施。</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协助校长制定班主任远、近期师德师风培训提高计划，做好班主任的校本培训和选培工作。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4</w:t>
      </w:r>
      <w:r>
        <w:rPr>
          <w:rFonts w:hint="eastAsia"/>
          <w:lang w:eastAsia="zh-CN"/>
        </w:rPr>
        <w:t>）</w:t>
      </w:r>
      <w:r>
        <w:rPr>
          <w:rFonts w:hint="eastAsia"/>
        </w:rPr>
        <w:t>定期召开德育工作人员会议，总结并提出工作要求；做好教师值日的组织管理工作；坚持巡堂，及时掌握各部班级班纪班风情况，维护正常教学秩序；做好学生思想政治工作、日常纪律教育管理工作，对违规违纪学生及时开展教育，并提出处理意见，报行政会讨论确定；做好学生考勤的登记、统计、公布和处理工作；建立学生德育档案，会同教务处做好学生升级、留级、休学、复学、退学、毕业与结（肄）业的资格审查；做好处室有关档案资料整理保存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5</w:t>
      </w:r>
      <w:r>
        <w:rPr>
          <w:rFonts w:hint="eastAsia"/>
          <w:lang w:eastAsia="zh-CN"/>
        </w:rPr>
        <w:t>）</w:t>
      </w:r>
      <w:r>
        <w:rPr>
          <w:rFonts w:hint="eastAsia"/>
        </w:rPr>
        <w:t>领导班主任工作。定期召开班主任、学生管理员会议，研讨、布置有关德育工作，总结交流德育工作经验。审定班主任工作计划，督促有关工作人员执行落实学校岗位责任制，加强学生管理，提高教育工作效果；审核有关德育工作总结。</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6</w:t>
      </w:r>
      <w:r>
        <w:rPr>
          <w:rFonts w:hint="eastAsia"/>
          <w:lang w:eastAsia="zh-CN"/>
        </w:rPr>
        <w:t>）</w:t>
      </w:r>
      <w:r>
        <w:rPr>
          <w:rFonts w:hint="eastAsia"/>
        </w:rPr>
        <w:t>配合其他部门做好学生“工学结合、顶岗实习”的管理工作，配合做好学生技能鉴定报考工作，配合做好学生就业指导和推荐就业工作。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7</w:t>
      </w:r>
      <w:r>
        <w:rPr>
          <w:rFonts w:hint="eastAsia"/>
          <w:lang w:eastAsia="zh-CN"/>
        </w:rPr>
        <w:t>）</w:t>
      </w:r>
      <w:r>
        <w:rPr>
          <w:rFonts w:hint="eastAsia"/>
        </w:rPr>
        <w:t>负责学生入学教育和军训工作。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8</w:t>
      </w:r>
      <w:r>
        <w:rPr>
          <w:rFonts w:hint="eastAsia"/>
          <w:lang w:eastAsia="zh-CN"/>
        </w:rPr>
        <w:t>）</w:t>
      </w:r>
      <w:r>
        <w:rPr>
          <w:rFonts w:hint="eastAsia"/>
        </w:rPr>
        <w:t>负责师生各项课外文体活动及学生外出的组织管理工作。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9</w:t>
      </w:r>
      <w:r>
        <w:rPr>
          <w:rFonts w:hint="eastAsia"/>
          <w:lang w:eastAsia="zh-CN"/>
        </w:rPr>
        <w:t>）</w:t>
      </w:r>
      <w:r>
        <w:rPr>
          <w:rFonts w:hint="eastAsia"/>
        </w:rPr>
        <w:t>负责班主任考核评价工作，考核结果报校长室审批。</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10</w:t>
      </w:r>
      <w:r>
        <w:rPr>
          <w:rFonts w:hint="eastAsia"/>
          <w:lang w:eastAsia="zh-CN"/>
        </w:rPr>
        <w:t>）</w:t>
      </w:r>
      <w:r>
        <w:rPr>
          <w:rFonts w:hint="eastAsia"/>
        </w:rPr>
        <w:t>负责发放学生校服、学生证、住宿证和胸卡。协助校长做好招生工作，配合有关部门做好新生的接待、编班、食宿安排等工作。做好学生入学注册和控流防辍工作。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11</w:t>
      </w:r>
      <w:r>
        <w:rPr>
          <w:rFonts w:hint="eastAsia"/>
          <w:lang w:eastAsia="zh-CN"/>
        </w:rPr>
        <w:t>）</w:t>
      </w:r>
      <w:r>
        <w:rPr>
          <w:rFonts w:hint="eastAsia"/>
        </w:rPr>
        <w:t>负责组织和管理好“家、校、社会”网络工作。认真做好家访工作和社区服务工作。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rPr>
      </w:pPr>
      <w:r>
        <w:rPr>
          <w:rFonts w:hint="eastAsia"/>
          <w:lang w:eastAsia="zh-CN"/>
        </w:rPr>
        <w:t>（</w:t>
      </w:r>
      <w:r>
        <w:rPr>
          <w:rFonts w:hint="eastAsia"/>
          <w:lang w:val="en-US" w:eastAsia="zh-CN"/>
        </w:rPr>
        <w:t>12</w:t>
      </w:r>
      <w:r>
        <w:rPr>
          <w:rFonts w:hint="eastAsia"/>
          <w:lang w:eastAsia="zh-CN"/>
        </w:rPr>
        <w:t>）</w:t>
      </w:r>
      <w:r>
        <w:rPr>
          <w:rFonts w:hint="eastAsia"/>
        </w:rPr>
        <w:t>负责学校卫生、学生内宿和夜自修的组织管理工作，定期开展检查评比活动。</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学生管理人员数目前为4人。</w:t>
      </w:r>
    </w:p>
    <w:p>
      <w:pPr>
        <w:pStyle w:val="4"/>
        <w:bidi w:val="0"/>
        <w:ind w:left="425" w:leftChars="0" w:firstLine="53" w:firstLineChars="19"/>
        <w:rPr>
          <w:rFonts w:hint="eastAsia"/>
          <w:lang w:val="en-US" w:eastAsia="zh-CN"/>
        </w:rPr>
      </w:pPr>
      <w:r>
        <w:rPr>
          <w:rFonts w:hint="eastAsia"/>
          <w:lang w:val="en-US" w:eastAsia="zh-CN"/>
        </w:rPr>
        <w:t>在校生情况</w:t>
      </w:r>
    </w:p>
    <w:p>
      <w:pPr>
        <w:spacing w:line="360" w:lineRule="auto"/>
        <w:ind w:firstLine="480" w:firstLineChars="200"/>
        <w:jc w:val="left"/>
        <w:rPr>
          <w:sz w:val="28"/>
          <w:szCs w:val="28"/>
        </w:rPr>
      </w:pPr>
      <w:r>
        <w:rPr>
          <w:rFonts w:hint="eastAsia" w:ascii="宋体" w:hAnsi="宋体" w:eastAsia="宋体" w:cs="宋体"/>
          <w:color w:val="000000"/>
          <w:sz w:val="24"/>
        </w:rPr>
        <w:t>2020年学校全日制在校生总人数3196人，男女生人数比例为1:1.17，2021年学校全日制在校生总人数3028人，男女生人数比例为1:1.3，2021年比2020年总人数减少5.26%，人数减少原因是学生流失增多。</w:t>
      </w:r>
      <w:r>
        <w:rPr>
          <w:rFonts w:hint="eastAsia"/>
          <w:sz w:val="28"/>
          <w:szCs w:val="28"/>
        </w:rPr>
        <w:drawing>
          <wp:inline distT="0" distB="0" distL="114300" distR="114300">
            <wp:extent cx="4900295" cy="3439795"/>
            <wp:effectExtent l="5080" t="4445" r="9525" b="22860"/>
            <wp:docPr id="39" name="图表 39" descr="7b0a202020202263686172745265734964223a2022343632353833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360" w:lineRule="auto"/>
        <w:rPr>
          <w:sz w:val="28"/>
          <w:szCs w:val="28"/>
        </w:rPr>
      </w:pPr>
      <w:r>
        <w:rPr>
          <w:rFonts w:hint="eastAsia"/>
          <w:sz w:val="28"/>
          <w:szCs w:val="28"/>
        </w:rPr>
        <w:t xml:space="preserve">                  图2.1 在校生男女比例情况</w:t>
      </w:r>
    </w:p>
    <w:p>
      <w:pPr>
        <w:pStyle w:val="4"/>
        <w:bidi w:val="0"/>
        <w:ind w:left="425" w:leftChars="0" w:firstLine="53" w:firstLineChars="19"/>
        <w:rPr>
          <w:rFonts w:hint="eastAsia"/>
          <w:lang w:val="en-US" w:eastAsia="zh-CN"/>
        </w:rPr>
      </w:pPr>
      <w:r>
        <w:rPr>
          <w:rFonts w:hint="eastAsia"/>
          <w:lang w:val="en-US" w:eastAsia="zh-CN"/>
        </w:rPr>
        <w:t>班主任队伍建设情况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定期开展班主任会议，针对每个班级的管理情况进行优化，进一步探索新形势下班主任队伍建设的新途径、新方法，推进班主任队伍专业化发展，不定期举行班主任业务能力大赛和班会课评比活动。学校全面加强班主任队伍建设、推动班主任专业化发展的重要举措。落实立德树人根本任务，提高职业能力和专业素养等情况进行了全面考察。集中展现了学校对班主任工作的高度重视，也体现出学校全体班主任昂扬的精神风貌、高尚的道德品质和精湛的职业技能。</w:t>
      </w:r>
    </w:p>
    <w:p>
      <w:pPr>
        <w:spacing w:line="360" w:lineRule="auto"/>
        <w:jc w:val="left"/>
        <w:rPr>
          <w:rFonts w:ascii="宋体" w:hAnsi="宋体" w:eastAsia="宋体" w:cs="宋体"/>
          <w:sz w:val="24"/>
        </w:rPr>
      </w:pPr>
      <w:r>
        <w:rPr>
          <w:rFonts w:hint="eastAsia" w:ascii="宋体" w:hAnsi="宋体" w:eastAsia="宋体" w:cs="宋体"/>
          <w:sz w:val="24"/>
        </w:rPr>
        <w:drawing>
          <wp:anchor distT="0" distB="0" distL="114300" distR="114300" simplePos="0" relativeHeight="251673600" behindDoc="0" locked="0" layoutInCell="1" allowOverlap="1">
            <wp:simplePos x="0" y="0"/>
            <wp:positionH relativeFrom="column">
              <wp:posOffset>2794000</wp:posOffset>
            </wp:positionH>
            <wp:positionV relativeFrom="paragraph">
              <wp:posOffset>38100</wp:posOffset>
            </wp:positionV>
            <wp:extent cx="2485390" cy="1864360"/>
            <wp:effectExtent l="0" t="0" r="10160" b="2540"/>
            <wp:wrapSquare wrapText="bothSides"/>
            <wp:docPr id="3" name="图片 3" descr="微信图片_20210915154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9151544495"/>
                    <pic:cNvPicPr>
                      <a:picLocks noChangeAspect="1"/>
                    </pic:cNvPicPr>
                  </pic:nvPicPr>
                  <pic:blipFill>
                    <a:blip r:embed="rId10"/>
                    <a:stretch>
                      <a:fillRect/>
                    </a:stretch>
                  </pic:blipFill>
                  <pic:spPr>
                    <a:xfrm>
                      <a:off x="0" y="0"/>
                      <a:ext cx="2485390" cy="1864360"/>
                    </a:xfrm>
                    <a:prstGeom prst="rect">
                      <a:avLst/>
                    </a:prstGeom>
                  </pic:spPr>
                </pic:pic>
              </a:graphicData>
            </a:graphic>
          </wp:anchor>
        </w:drawing>
      </w:r>
      <w:r>
        <w:rPr>
          <w:rFonts w:hint="eastAsia" w:ascii="宋体" w:hAnsi="宋体" w:eastAsia="宋体" w:cs="宋体"/>
          <w:sz w:val="24"/>
        </w:rPr>
        <w:drawing>
          <wp:inline distT="0" distB="0" distL="114300" distR="114300">
            <wp:extent cx="3069590" cy="2303145"/>
            <wp:effectExtent l="0" t="0" r="16510" b="1905"/>
            <wp:docPr id="32" name="图片 32" descr="微信图片_20200710161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007101612093"/>
                    <pic:cNvPicPr>
                      <a:picLocks noChangeAspect="1"/>
                    </pic:cNvPicPr>
                  </pic:nvPicPr>
                  <pic:blipFill>
                    <a:blip r:embed="rId11"/>
                    <a:stretch>
                      <a:fillRect/>
                    </a:stretch>
                  </pic:blipFill>
                  <pic:spPr>
                    <a:xfrm>
                      <a:off x="0" y="0"/>
                      <a:ext cx="3069590" cy="2303145"/>
                    </a:xfrm>
                    <a:prstGeom prst="rect">
                      <a:avLst/>
                    </a:prstGeom>
                  </pic:spPr>
                </pic:pic>
              </a:graphicData>
            </a:graphic>
          </wp:inline>
        </w:drawing>
      </w:r>
      <w:r>
        <w:rPr>
          <w:rFonts w:hint="eastAsia" w:ascii="宋体" w:hAnsi="宋体" w:eastAsia="宋体" w:cs="宋体"/>
          <w:sz w:val="24"/>
        </w:rPr>
        <w:t xml:space="preserve">                         图2.2班主任大会</w:t>
      </w:r>
    </w:p>
    <w:p>
      <w:pPr>
        <w:spacing w:line="360" w:lineRule="auto"/>
        <w:jc w:val="center"/>
        <w:rPr>
          <w:rFonts w:ascii="宋体" w:hAnsi="宋体" w:eastAsia="宋体" w:cs="宋体"/>
          <w:sz w:val="24"/>
        </w:rPr>
      </w:pPr>
      <w:r>
        <w:rPr>
          <w:rFonts w:ascii="宋体" w:hAnsi="宋体" w:eastAsia="宋体" w:cs="宋体"/>
          <w:sz w:val="24"/>
        </w:rPr>
        <w:drawing>
          <wp:inline distT="0" distB="0" distL="114300" distR="114300">
            <wp:extent cx="3932555" cy="2621280"/>
            <wp:effectExtent l="0" t="0" r="10795" b="7620"/>
            <wp:docPr id="47" name="图片 47" descr="d1f7df40afe8ea51d254a00d27e2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1f7df40afe8ea51d254a00d27e21354"/>
                    <pic:cNvPicPr>
                      <a:picLocks noChangeAspect="1"/>
                    </pic:cNvPicPr>
                  </pic:nvPicPr>
                  <pic:blipFill>
                    <a:blip r:embed="rId12"/>
                    <a:stretch>
                      <a:fillRect/>
                    </a:stretch>
                  </pic:blipFill>
                  <pic:spPr>
                    <a:xfrm>
                      <a:off x="0" y="0"/>
                      <a:ext cx="3932555" cy="2621280"/>
                    </a:xfrm>
                    <a:prstGeom prst="rect">
                      <a:avLst/>
                    </a:prstGeom>
                  </pic:spPr>
                </pic:pic>
              </a:graphicData>
            </a:graphic>
          </wp:inline>
        </w:drawing>
      </w:r>
      <w:r>
        <w:rPr>
          <w:rFonts w:hint="eastAsia" w:ascii="宋体" w:hAnsi="宋体" w:eastAsia="宋体" w:cs="宋体"/>
          <w:sz w:val="24"/>
        </w:rPr>
        <w:drawing>
          <wp:inline distT="0" distB="0" distL="114300" distR="114300">
            <wp:extent cx="4209415" cy="2807335"/>
            <wp:effectExtent l="0" t="0" r="635" b="12065"/>
            <wp:docPr id="48" name="图片 48" descr="7f31e71a6aea5ee6cdd9907bfea74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f31e71a6aea5ee6cdd9907bfea748bf"/>
                    <pic:cNvPicPr>
                      <a:picLocks noChangeAspect="1"/>
                    </pic:cNvPicPr>
                  </pic:nvPicPr>
                  <pic:blipFill>
                    <a:blip r:embed="rId13"/>
                    <a:stretch>
                      <a:fillRect/>
                    </a:stretch>
                  </pic:blipFill>
                  <pic:spPr>
                    <a:xfrm>
                      <a:off x="0" y="0"/>
                      <a:ext cx="4209415" cy="2807335"/>
                    </a:xfrm>
                    <a:prstGeom prst="rect">
                      <a:avLst/>
                    </a:prstGeom>
                  </pic:spPr>
                </pic:pic>
              </a:graphicData>
            </a:graphic>
          </wp:inline>
        </w:drawing>
      </w:r>
      <w:r>
        <w:rPr>
          <w:rFonts w:hint="eastAsia" w:ascii="宋体" w:hAnsi="宋体" w:eastAsia="宋体" w:cs="宋体"/>
          <w:sz w:val="24"/>
        </w:rPr>
        <w:t xml:space="preserve">                       图2.4 班主任能力大赛</w:t>
      </w:r>
    </w:p>
    <w:p>
      <w:pPr>
        <w:pStyle w:val="4"/>
        <w:bidi w:val="0"/>
        <w:ind w:left="425" w:leftChars="0" w:firstLine="53" w:firstLineChars="19"/>
        <w:rPr>
          <w:rFonts w:hint="eastAsia"/>
          <w:lang w:val="en-US" w:eastAsia="zh-CN"/>
        </w:rPr>
      </w:pPr>
      <w:r>
        <w:rPr>
          <w:rFonts w:hint="eastAsia"/>
          <w:lang w:val="en-US" w:eastAsia="zh-CN"/>
        </w:rPr>
        <w:t>名班主任工作室建设情况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目前有区级名班主任工作室1个，由学校的吴莹老师主持。工作室建设自2017年6月开始启动，目前共有成员、学员16名，其中本校班主任10名，外校班主任6名，以成员带学员，就近原则进行分组，实现团队协助，共同成长。</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工作室以提升德育管理智慧为核心，引导学生健康成长、提升班主任的幸福感、分享传播教育智慧为宗旨，以德育科研、业务培训、示范辐射为主要内容，打造有理想信念，有高尚师德，有专业能力，有教育智慧的“四有”班主任队伍，构建多层次、多形式的班主任交流学习、研修提高、实践示范的活动平台，促进班主任队伍的专业化发展。</w:t>
      </w:r>
    </w:p>
    <w:p>
      <w:pPr>
        <w:spacing w:line="360" w:lineRule="auto"/>
        <w:rPr>
          <w:rFonts w:ascii="宋体" w:hAnsi="宋体" w:eastAsia="宋体" w:cs="宋体"/>
          <w:sz w:val="24"/>
        </w:rPr>
      </w:pPr>
      <w:r>
        <w:rPr>
          <w:rFonts w:hint="eastAsia" w:ascii="宋体" w:hAnsi="宋体" w:eastAsia="宋体" w:cs="宋体"/>
          <w:sz w:val="24"/>
        </w:rPr>
        <w:drawing>
          <wp:anchor distT="0" distB="0" distL="114300" distR="114300" simplePos="0" relativeHeight="251661312" behindDoc="0" locked="0" layoutInCell="1" allowOverlap="1">
            <wp:simplePos x="0" y="0"/>
            <wp:positionH relativeFrom="column">
              <wp:posOffset>112395</wp:posOffset>
            </wp:positionH>
            <wp:positionV relativeFrom="paragraph">
              <wp:posOffset>88900</wp:posOffset>
            </wp:positionV>
            <wp:extent cx="2483485" cy="1657985"/>
            <wp:effectExtent l="0" t="0" r="12065" b="18415"/>
            <wp:wrapSquare wrapText="bothSides"/>
            <wp:docPr id="43" name="图片 43" descr="微信图片_20211105164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11051648141"/>
                    <pic:cNvPicPr>
                      <a:picLocks noChangeAspect="1"/>
                    </pic:cNvPicPr>
                  </pic:nvPicPr>
                  <pic:blipFill>
                    <a:blip r:embed="rId14"/>
                    <a:stretch>
                      <a:fillRect/>
                    </a:stretch>
                  </pic:blipFill>
                  <pic:spPr>
                    <a:xfrm>
                      <a:off x="0" y="0"/>
                      <a:ext cx="2483485" cy="1657985"/>
                    </a:xfrm>
                    <a:prstGeom prst="rect">
                      <a:avLst/>
                    </a:prstGeom>
                  </pic:spPr>
                </pic:pic>
              </a:graphicData>
            </a:graphic>
          </wp:anchor>
        </w:drawing>
      </w:r>
      <w:r>
        <w:rPr>
          <w:rFonts w:hint="eastAsia" w:ascii="宋体" w:hAnsi="宋体" w:eastAsia="宋体" w:cs="宋体"/>
          <w:sz w:val="24"/>
        </w:rPr>
        <w:drawing>
          <wp:anchor distT="0" distB="0" distL="114300" distR="114300" simplePos="0" relativeHeight="251660288" behindDoc="0" locked="0" layoutInCell="1" allowOverlap="1">
            <wp:simplePos x="0" y="0"/>
            <wp:positionH relativeFrom="column">
              <wp:posOffset>2740025</wp:posOffset>
            </wp:positionH>
            <wp:positionV relativeFrom="paragraph">
              <wp:posOffset>95885</wp:posOffset>
            </wp:positionV>
            <wp:extent cx="2193290" cy="1645285"/>
            <wp:effectExtent l="0" t="0" r="16510" b="12065"/>
            <wp:wrapSquare wrapText="bothSides"/>
            <wp:docPr id="42" name="图片 42" descr="微信图片_20211105164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111051648152"/>
                    <pic:cNvPicPr>
                      <a:picLocks noChangeAspect="1"/>
                    </pic:cNvPicPr>
                  </pic:nvPicPr>
                  <pic:blipFill>
                    <a:blip r:embed="rId15"/>
                    <a:stretch>
                      <a:fillRect/>
                    </a:stretch>
                  </pic:blipFill>
                  <pic:spPr>
                    <a:xfrm>
                      <a:off x="0" y="0"/>
                      <a:ext cx="2193290" cy="1645285"/>
                    </a:xfrm>
                    <a:prstGeom prst="rect">
                      <a:avLst/>
                    </a:prstGeom>
                  </pic:spPr>
                </pic:pic>
              </a:graphicData>
            </a:graphic>
          </wp:anchor>
        </w:drawing>
      </w:r>
    </w:p>
    <w:p>
      <w:pPr>
        <w:spacing w:line="360" w:lineRule="auto"/>
        <w:rPr>
          <w:rFonts w:ascii="宋体" w:hAnsi="宋体" w:eastAsia="宋体" w:cs="宋体"/>
          <w:sz w:val="24"/>
        </w:rPr>
      </w:pPr>
    </w:p>
    <w:p>
      <w:pPr>
        <w:spacing w:line="360" w:lineRule="auto"/>
        <w:jc w:val="center"/>
        <w:rPr>
          <w:rFonts w:ascii="宋体" w:hAnsi="宋体" w:eastAsia="宋体" w:cs="宋体"/>
          <w:sz w:val="24"/>
        </w:rPr>
      </w:pPr>
    </w:p>
    <w:p>
      <w:pPr>
        <w:spacing w:line="360" w:lineRule="auto"/>
        <w:jc w:val="center"/>
        <w:rPr>
          <w:rFonts w:ascii="宋体" w:hAnsi="宋体" w:eastAsia="宋体" w:cs="宋体"/>
          <w:color w:val="C00000"/>
          <w:sz w:val="24"/>
        </w:rPr>
      </w:pPr>
      <w:r>
        <w:rPr>
          <w:rFonts w:hint="eastAsia" w:ascii="宋体" w:hAnsi="宋体" w:eastAsia="宋体" w:cs="宋体"/>
          <w:sz w:val="24"/>
        </w:rPr>
        <w:drawing>
          <wp:anchor distT="0" distB="0" distL="114300" distR="114300" simplePos="0" relativeHeight="251662336" behindDoc="0" locked="0" layoutInCell="1" allowOverlap="1">
            <wp:simplePos x="0" y="0"/>
            <wp:positionH relativeFrom="column">
              <wp:posOffset>2645410</wp:posOffset>
            </wp:positionH>
            <wp:positionV relativeFrom="paragraph">
              <wp:posOffset>133985</wp:posOffset>
            </wp:positionV>
            <wp:extent cx="2519045" cy="1744345"/>
            <wp:effectExtent l="0" t="0" r="14605" b="8255"/>
            <wp:wrapSquare wrapText="bothSides"/>
            <wp:docPr id="41" name="图片 41" descr="微信图片_2021110516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11105164814"/>
                    <pic:cNvPicPr>
                      <a:picLocks noChangeAspect="1"/>
                    </pic:cNvPicPr>
                  </pic:nvPicPr>
                  <pic:blipFill>
                    <a:blip r:embed="rId16"/>
                    <a:stretch>
                      <a:fillRect/>
                    </a:stretch>
                  </pic:blipFill>
                  <pic:spPr>
                    <a:xfrm>
                      <a:off x="0" y="0"/>
                      <a:ext cx="2519045" cy="1744345"/>
                    </a:xfrm>
                    <a:prstGeom prst="rect">
                      <a:avLst/>
                    </a:prstGeom>
                  </pic:spPr>
                </pic:pic>
              </a:graphicData>
            </a:graphic>
          </wp:anchor>
        </w:drawing>
      </w:r>
      <w:r>
        <w:rPr>
          <w:rFonts w:hint="eastAsia" w:ascii="宋体" w:hAnsi="宋体" w:eastAsia="宋体" w:cs="宋体"/>
          <w:sz w:val="24"/>
        </w:rPr>
        <w:drawing>
          <wp:anchor distT="0" distB="0" distL="114300" distR="114300" simplePos="0" relativeHeight="251663360" behindDoc="0" locked="0" layoutInCell="1" allowOverlap="1">
            <wp:simplePos x="0" y="0"/>
            <wp:positionH relativeFrom="column">
              <wp:posOffset>15875</wp:posOffset>
            </wp:positionH>
            <wp:positionV relativeFrom="paragraph">
              <wp:posOffset>273685</wp:posOffset>
            </wp:positionV>
            <wp:extent cx="2287270" cy="1529080"/>
            <wp:effectExtent l="0" t="0" r="17780" b="13970"/>
            <wp:wrapSquare wrapText="bothSides"/>
            <wp:docPr id="40" name="图片 40" descr="微信图片_2021110516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11105164815"/>
                    <pic:cNvPicPr>
                      <a:picLocks noChangeAspect="1"/>
                    </pic:cNvPicPr>
                  </pic:nvPicPr>
                  <pic:blipFill>
                    <a:blip r:embed="rId17"/>
                    <a:stretch>
                      <a:fillRect/>
                    </a:stretch>
                  </pic:blipFill>
                  <pic:spPr>
                    <a:xfrm>
                      <a:off x="0" y="0"/>
                      <a:ext cx="2287270" cy="1529080"/>
                    </a:xfrm>
                    <a:prstGeom prst="rect">
                      <a:avLst/>
                    </a:prstGeom>
                  </pic:spPr>
                </pic:pic>
              </a:graphicData>
            </a:graphic>
          </wp:anchor>
        </w:drawing>
      </w:r>
    </w:p>
    <w:p>
      <w:pPr>
        <w:spacing w:line="360" w:lineRule="auto"/>
        <w:jc w:val="center"/>
        <w:rPr>
          <w:rFonts w:ascii="宋体" w:hAnsi="宋体" w:eastAsia="宋体" w:cs="宋体"/>
          <w:sz w:val="24"/>
        </w:rPr>
      </w:pPr>
      <w:r>
        <w:rPr>
          <w:rFonts w:hint="eastAsia" w:ascii="宋体" w:hAnsi="宋体" w:eastAsia="宋体" w:cs="宋体"/>
          <w:sz w:val="24"/>
        </w:rPr>
        <w:t>图2.4名班主任工作室活动情况</w:t>
      </w:r>
    </w:p>
    <w:p>
      <w:pPr>
        <w:pStyle w:val="4"/>
        <w:bidi w:val="0"/>
        <w:ind w:left="425" w:leftChars="0" w:firstLine="53" w:firstLineChars="19"/>
        <w:rPr>
          <w:rFonts w:hint="eastAsia"/>
          <w:lang w:val="en-US" w:eastAsia="zh-CN"/>
        </w:rPr>
      </w:pPr>
      <w:r>
        <w:rPr>
          <w:rFonts w:hint="eastAsia"/>
          <w:lang w:val="en-US" w:eastAsia="zh-CN"/>
        </w:rPr>
        <w:t>心理健康教育情况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心理健康教育近年来已经成为了学校德育工作的一个重要工作内容，学校在此项工作开展了大量的工作。目前学校建有“师生心理健康活动中心”一个，并配备了专门的心理健康教师2名。学校以坚持科学发展观指导，以《中小学心理健康教育指导纲要》和本校重点工作为抓手，坚持以育人为本，规范我校心理健康教育工作。通过心理健康教育，不断转变教师的教学理念，改进教育、教学方法，改进班主任方法，提高德育工作的针对性，学科性和实效性，为学校实施素质教育营造良好的心理气氛。</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具体目标：</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 xml:space="preserve">注重疫情期间学生心理辅导，做好学生心理疏导工作。 </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 xml:space="preserve">发挥心理咨询室的作用，进一步在全校做好宣传普及心理健康工作。 </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做好心理联络员培训工作及心理社团招新工作。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4</w:t>
      </w:r>
      <w:r>
        <w:rPr>
          <w:rFonts w:hint="eastAsia"/>
          <w:lang w:eastAsia="zh-CN"/>
        </w:rPr>
        <w:t>）</w:t>
      </w:r>
      <w:r>
        <w:rPr>
          <w:rFonts w:hint="eastAsia"/>
        </w:rPr>
        <w:t>不断提高教师心理健康水平,缓解职业压力。</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5</w:t>
      </w:r>
      <w:r>
        <w:rPr>
          <w:rFonts w:hint="eastAsia"/>
          <w:lang w:eastAsia="zh-CN"/>
        </w:rPr>
        <w:t>）</w:t>
      </w:r>
      <w:r>
        <w:rPr>
          <w:rFonts w:hint="eastAsia"/>
        </w:rPr>
        <w:t>立足新高考，积极探索生涯规划教育。</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6</w:t>
      </w:r>
      <w:r>
        <w:rPr>
          <w:rFonts w:hint="eastAsia"/>
          <w:lang w:eastAsia="zh-CN"/>
        </w:rPr>
        <w:t>）</w:t>
      </w:r>
      <w:r>
        <w:rPr>
          <w:rFonts w:hint="eastAsia"/>
        </w:rPr>
        <w:t>结合我校实际情况，编写我校特色心理健康校本课程。</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7</w:t>
      </w:r>
      <w:r>
        <w:rPr>
          <w:rFonts w:hint="eastAsia"/>
          <w:lang w:eastAsia="zh-CN"/>
        </w:rPr>
        <w:t>）</w:t>
      </w:r>
      <w:r>
        <w:rPr>
          <w:rFonts w:hint="eastAsia"/>
        </w:rPr>
        <w:t>落实团体辅导室创建工作，积极申报心理健康特色学校。</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8</w:t>
      </w:r>
      <w:r>
        <w:rPr>
          <w:rFonts w:hint="eastAsia"/>
          <w:lang w:eastAsia="zh-CN"/>
        </w:rPr>
        <w:t>）</w:t>
      </w:r>
      <w:r>
        <w:rPr>
          <w:rFonts w:hint="eastAsia"/>
        </w:rPr>
        <w:t>具体工作安排：</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9</w:t>
      </w:r>
      <w:r>
        <w:rPr>
          <w:rFonts w:hint="eastAsia"/>
          <w:lang w:eastAsia="zh-CN"/>
        </w:rPr>
        <w:t>）</w:t>
      </w:r>
      <w:r>
        <w:rPr>
          <w:rFonts w:hint="eastAsia"/>
        </w:rPr>
        <w:t>制订并讨论学期心理辅导工作计划。</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10</w:t>
      </w:r>
      <w:r>
        <w:rPr>
          <w:rFonts w:hint="eastAsia"/>
          <w:lang w:eastAsia="zh-CN"/>
        </w:rPr>
        <w:t>）</w:t>
      </w:r>
      <w:r>
        <w:rPr>
          <w:rFonts w:hint="eastAsia"/>
        </w:rPr>
        <w:t>好心理健康教育的宣传和氛围建设工作。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11</w:t>
      </w:r>
      <w:r>
        <w:rPr>
          <w:rFonts w:hint="eastAsia"/>
          <w:lang w:eastAsia="zh-CN"/>
        </w:rPr>
        <w:t>）</w:t>
      </w:r>
      <w:r>
        <w:rPr>
          <w:rFonts w:hint="eastAsia"/>
        </w:rPr>
        <w:t>做好心理辅导小联络员的培训工作。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12</w:t>
      </w:r>
      <w:r>
        <w:rPr>
          <w:rFonts w:hint="eastAsia"/>
          <w:lang w:eastAsia="zh-CN"/>
        </w:rPr>
        <w:t>）</w:t>
      </w:r>
      <w:r>
        <w:rPr>
          <w:rFonts w:hint="eastAsia"/>
        </w:rPr>
        <w:t>进行心理健康测评。</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13</w:t>
      </w:r>
      <w:r>
        <w:rPr>
          <w:rFonts w:hint="eastAsia"/>
          <w:lang w:eastAsia="zh-CN"/>
        </w:rPr>
        <w:t>）</w:t>
      </w:r>
      <w:r>
        <w:rPr>
          <w:rFonts w:hint="eastAsia"/>
        </w:rPr>
        <w:t>开展心理健康主题班会。</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14</w:t>
      </w:r>
      <w:r>
        <w:rPr>
          <w:rFonts w:hint="eastAsia"/>
          <w:lang w:eastAsia="zh-CN"/>
        </w:rPr>
        <w:t>）</w:t>
      </w:r>
      <w:r>
        <w:rPr>
          <w:rFonts w:hint="eastAsia"/>
        </w:rPr>
        <w:t>组织全体老师学习有关心理辅导的知识、方法等。</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15</w:t>
      </w:r>
      <w:r>
        <w:rPr>
          <w:rFonts w:hint="eastAsia"/>
          <w:lang w:eastAsia="zh-CN"/>
        </w:rPr>
        <w:t>）</w:t>
      </w:r>
      <w:r>
        <w:rPr>
          <w:rFonts w:hint="eastAsia"/>
        </w:rPr>
        <w:t>召开特殊学生会议，并进行个别心理咨询。</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rPr>
          <w:rFonts w:hint="eastAsia"/>
        </w:rPr>
      </w:pPr>
      <w:r>
        <w:rPr>
          <w:rFonts w:hint="eastAsia"/>
          <w:lang w:eastAsia="zh-CN"/>
        </w:rPr>
        <w:t>（</w:t>
      </w:r>
      <w:r>
        <w:rPr>
          <w:rFonts w:hint="eastAsia"/>
          <w:lang w:val="en-US" w:eastAsia="zh-CN"/>
        </w:rPr>
        <w:t>16</w:t>
      </w:r>
      <w:r>
        <w:rPr>
          <w:rFonts w:hint="eastAsia"/>
          <w:lang w:eastAsia="zh-CN"/>
        </w:rPr>
        <w:t>）</w:t>
      </w:r>
      <w:r>
        <w:rPr>
          <w:rFonts w:hint="eastAsia"/>
        </w:rPr>
        <w:t>用家长会向家长宣传“家庭心理指导”的有关内容。</w:t>
      </w:r>
    </w:p>
    <w:p>
      <w:pPr>
        <w:pStyle w:val="5"/>
        <w:keepNext w:val="0"/>
        <w:keepLines w:val="0"/>
        <w:pageBreakBefore w:val="0"/>
        <w:widowControl w:val="0"/>
        <w:numPr>
          <w:ilvl w:val="0"/>
          <w:numId w:val="0"/>
        </w:numPr>
        <w:kinsoku/>
        <w:wordWrap/>
        <w:overflowPunct/>
        <w:topLinePunct w:val="0"/>
        <w:autoSpaceDE/>
        <w:autoSpaceDN/>
        <w:bidi w:val="0"/>
        <w:adjustRightInd w:val="0"/>
        <w:snapToGrid w:val="0"/>
        <w:ind w:leftChars="200"/>
        <w:textAlignment w:val="auto"/>
      </w:pPr>
      <w:r>
        <w:drawing>
          <wp:anchor distT="0" distB="0" distL="114300" distR="114300" simplePos="0" relativeHeight="251664384" behindDoc="0" locked="0" layoutInCell="1" allowOverlap="1">
            <wp:simplePos x="0" y="0"/>
            <wp:positionH relativeFrom="column">
              <wp:posOffset>149860</wp:posOffset>
            </wp:positionH>
            <wp:positionV relativeFrom="paragraph">
              <wp:posOffset>515620</wp:posOffset>
            </wp:positionV>
            <wp:extent cx="2356485" cy="1767840"/>
            <wp:effectExtent l="0" t="0" r="5715" b="3810"/>
            <wp:wrapSquare wrapText="bothSides"/>
            <wp:docPr id="5" name="图片 5" descr="学生观看心理健康课程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生观看心理健康课程图片2"/>
                    <pic:cNvPicPr>
                      <a:picLocks noChangeAspect="1"/>
                    </pic:cNvPicPr>
                  </pic:nvPicPr>
                  <pic:blipFill>
                    <a:blip r:embed="rId18"/>
                    <a:stretch>
                      <a:fillRect/>
                    </a:stretch>
                  </pic:blipFill>
                  <pic:spPr>
                    <a:xfrm>
                      <a:off x="0" y="0"/>
                      <a:ext cx="2356485" cy="1767840"/>
                    </a:xfrm>
                    <a:prstGeom prst="rect">
                      <a:avLst/>
                    </a:prstGeom>
                  </pic:spPr>
                </pic:pic>
              </a:graphicData>
            </a:graphic>
          </wp:anchor>
        </w:drawing>
      </w:r>
      <w:r>
        <w:rPr>
          <w:rFonts w:hint="eastAsia"/>
          <w:lang w:eastAsia="zh-CN"/>
        </w:rPr>
        <w:t>（</w:t>
      </w:r>
      <w:r>
        <w:rPr>
          <w:rFonts w:hint="eastAsia"/>
          <w:lang w:val="en-US" w:eastAsia="zh-CN"/>
        </w:rPr>
        <w:t>17</w:t>
      </w:r>
      <w:r>
        <w:rPr>
          <w:rFonts w:hint="eastAsia"/>
          <w:lang w:eastAsia="zh-CN"/>
        </w:rPr>
        <w:t>）</w:t>
      </w:r>
      <w:r>
        <w:rPr>
          <w:rFonts w:hint="eastAsia"/>
        </w:rPr>
        <w:t xml:space="preserve">做好学期总结及资料积累和个案分析。                    </w:t>
      </w:r>
    </w:p>
    <w:p>
      <w:pPr>
        <w:pStyle w:val="5"/>
        <w:numPr>
          <w:ilvl w:val="0"/>
          <w:numId w:val="0"/>
        </w:numPr>
        <w:bidi w:val="0"/>
        <w:ind w:leftChars="200"/>
        <w:jc w:val="center"/>
        <w:outlineLvl w:val="9"/>
        <w:rPr>
          <w:rFonts w:ascii="宋体" w:hAnsi="宋体" w:eastAsia="宋体" w:cs="宋体"/>
          <w:color w:val="C00000"/>
          <w:sz w:val="24"/>
        </w:rPr>
      </w:pPr>
      <w:r>
        <w:drawing>
          <wp:anchor distT="0" distB="0" distL="114300" distR="114300" simplePos="0" relativeHeight="251665408" behindDoc="0" locked="0" layoutInCell="1" allowOverlap="1">
            <wp:simplePos x="0" y="0"/>
            <wp:positionH relativeFrom="column">
              <wp:posOffset>31750</wp:posOffset>
            </wp:positionH>
            <wp:positionV relativeFrom="paragraph">
              <wp:posOffset>231140</wp:posOffset>
            </wp:positionV>
            <wp:extent cx="2308225" cy="1766570"/>
            <wp:effectExtent l="0" t="0" r="15875" b="5080"/>
            <wp:wrapSquare wrapText="bothSides"/>
            <wp:docPr id="6" name="图片 6" descr="心理公开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心理公开课1"/>
                    <pic:cNvPicPr>
                      <a:picLocks noChangeAspect="1"/>
                    </pic:cNvPicPr>
                  </pic:nvPicPr>
                  <pic:blipFill>
                    <a:blip r:embed="rId19"/>
                    <a:stretch>
                      <a:fillRect/>
                    </a:stretch>
                  </pic:blipFill>
                  <pic:spPr>
                    <a:xfrm>
                      <a:off x="0" y="0"/>
                      <a:ext cx="2308225" cy="1766570"/>
                    </a:xfrm>
                    <a:prstGeom prst="rect">
                      <a:avLst/>
                    </a:prstGeom>
                  </pic:spPr>
                </pic:pic>
              </a:graphicData>
            </a:graphic>
          </wp:anchor>
        </w:drawing>
      </w:r>
      <w:r>
        <w:rPr>
          <w:rFonts w:hint="eastAsia"/>
        </w:rPr>
        <w:t>图2.5校园心理健康活动</w:t>
      </w:r>
    </w:p>
    <w:p>
      <w:pPr>
        <w:pStyle w:val="4"/>
        <w:bidi w:val="0"/>
        <w:ind w:left="425" w:leftChars="0" w:firstLine="53" w:firstLineChars="19"/>
        <w:rPr>
          <w:rFonts w:hint="eastAsia"/>
          <w:lang w:val="en-US" w:eastAsia="zh-CN"/>
        </w:rPr>
      </w:pPr>
      <w:r>
        <w:rPr>
          <w:rFonts w:hint="eastAsia"/>
          <w:lang w:val="en-US" w:eastAsia="zh-CN"/>
        </w:rPr>
        <w:t>班会课活动开展情况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构建和谐校园，树立文明新风，为了加强做文明学生的意识，学校开展了一系列主题班会活动。通过主题班会活动让大家了解到如何做一个文明大学生，增进了同学之间的友谊，以及在校园里、生活中如何做一个文明的中学生。</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活动表现形式多种多样，符合同学们的兴趣、</w:t>
      </w:r>
      <w:r>
        <w:rPr>
          <w:rFonts w:hint="eastAsia" w:ascii="宋体" w:hAnsi="宋体" w:eastAsia="宋体" w:cs="宋体"/>
          <w:color w:val="000000"/>
          <w:sz w:val="24"/>
        </w:rPr>
        <w:fldChar w:fldCharType="begin"/>
      </w:r>
      <w:r>
        <w:rPr>
          <w:rFonts w:hint="eastAsia" w:ascii="宋体" w:hAnsi="宋体" w:eastAsia="宋体" w:cs="宋体"/>
          <w:color w:val="000000"/>
          <w:sz w:val="24"/>
        </w:rPr>
        <w:instrText xml:space="preserve"> HYPERLINK "http://www.xuexila.com/hobby/" \t "https://www.xuexila.com/gzzongjie/huodongzongjie/_blank" </w:instrText>
      </w:r>
      <w:r>
        <w:rPr>
          <w:rFonts w:hint="eastAsia" w:ascii="宋体" w:hAnsi="宋体" w:eastAsia="宋体" w:cs="宋体"/>
          <w:color w:val="000000"/>
          <w:sz w:val="24"/>
        </w:rPr>
        <w:fldChar w:fldCharType="separate"/>
      </w:r>
      <w:r>
        <w:rPr>
          <w:rFonts w:hint="eastAsia" w:ascii="宋体" w:hAnsi="宋体" w:eastAsia="宋体" w:cs="宋体"/>
          <w:color w:val="000000"/>
          <w:sz w:val="24"/>
        </w:rPr>
        <w:t>爱好</w:t>
      </w:r>
      <w:r>
        <w:rPr>
          <w:rFonts w:hint="eastAsia" w:ascii="宋体" w:hAnsi="宋体" w:eastAsia="宋体" w:cs="宋体"/>
          <w:color w:val="000000"/>
          <w:sz w:val="24"/>
        </w:rPr>
        <w:fldChar w:fldCharType="end"/>
      </w:r>
      <w:r>
        <w:rPr>
          <w:rFonts w:hint="eastAsia" w:ascii="宋体" w:hAnsi="宋体" w:eastAsia="宋体" w:cs="宋体"/>
          <w:color w:val="000000"/>
          <w:sz w:val="24"/>
        </w:rPr>
        <w:t>，避免了互动环节的冷场。节目形式丰富多彩，有相声、小品、短剧、演讲、文明知识讲堂、游戏等多种形式，极大丰富了节目内容。通过表演真实的展现了现实生活，在校期间的一些细微的生活细节，加强了大家的文明意识，了解到在现实生活中有些冲突是可以避免的，帮助同学们树立了文明就餐的意识。在活动中同学们积极参与互动活动、游戏等，切身体会到了游戏的快乐以及如何做个文明的中学生。班会主题活动不仅加强了做文明学生的意识，而且增进了同学之间的友谊，让同学们体会到校园活的美好。在同学们心中播下了理想的种子，让同学们树立在大学期间做一名合格的中学生。</w: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4018915" cy="2260600"/>
            <wp:effectExtent l="0" t="0" r="635" b="6350"/>
            <wp:docPr id="7" name="图片 7" descr="IMG_20191023_16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91023_164555"/>
                    <pic:cNvPicPr>
                      <a:picLocks noChangeAspect="1"/>
                    </pic:cNvPicPr>
                  </pic:nvPicPr>
                  <pic:blipFill>
                    <a:blip r:embed="rId20"/>
                    <a:stretch>
                      <a:fillRect/>
                    </a:stretch>
                  </pic:blipFill>
                  <pic:spPr>
                    <a:xfrm>
                      <a:off x="0" y="0"/>
                      <a:ext cx="4018915" cy="2260600"/>
                    </a:xfrm>
                    <a:prstGeom prst="rect">
                      <a:avLst/>
                    </a:prstGeom>
                  </pic:spPr>
                </pic:pic>
              </a:graphicData>
            </a:graphic>
          </wp:inline>
        </w:drawing>
      </w:r>
      <w:r>
        <w:rPr>
          <w:rFonts w:hint="eastAsia" w:ascii="宋体" w:hAnsi="宋体" w:eastAsia="宋体" w:cs="宋体"/>
          <w:sz w:val="24"/>
        </w:rPr>
        <w:drawing>
          <wp:inline distT="0" distB="0" distL="114300" distR="114300">
            <wp:extent cx="3919855" cy="2614295"/>
            <wp:effectExtent l="0" t="0" r="4445" b="14605"/>
            <wp:docPr id="8" name="图片 8" descr="BS3A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S3A7588"/>
                    <pic:cNvPicPr>
                      <a:picLocks noChangeAspect="1"/>
                    </pic:cNvPicPr>
                  </pic:nvPicPr>
                  <pic:blipFill>
                    <a:blip r:embed="rId21"/>
                    <a:stretch>
                      <a:fillRect/>
                    </a:stretch>
                  </pic:blipFill>
                  <pic:spPr>
                    <a:xfrm>
                      <a:off x="0" y="0"/>
                      <a:ext cx="3919855" cy="2614295"/>
                    </a:xfrm>
                    <a:prstGeom prst="rect">
                      <a:avLst/>
                    </a:prstGeom>
                  </pic:spPr>
                </pic:pic>
              </a:graphicData>
            </a:graphic>
          </wp:inline>
        </w:drawing>
      </w:r>
    </w:p>
    <w:p>
      <w:pPr>
        <w:spacing w:line="360" w:lineRule="auto"/>
        <w:jc w:val="center"/>
        <w:rPr>
          <w:rFonts w:ascii="宋体" w:hAnsi="宋体" w:eastAsia="宋体" w:cs="宋体"/>
          <w:sz w:val="24"/>
        </w:rPr>
      </w:pPr>
      <w:r>
        <w:rPr>
          <w:rFonts w:hint="eastAsia" w:ascii="宋体" w:hAnsi="宋体" w:eastAsia="宋体" w:cs="宋体"/>
          <w:sz w:val="24"/>
        </w:rPr>
        <w:t>图2.6班会课比赛情况</w:t>
      </w:r>
    </w:p>
    <w:p>
      <w:pPr>
        <w:pStyle w:val="4"/>
        <w:bidi w:val="0"/>
        <w:ind w:left="425" w:leftChars="0" w:firstLine="53" w:firstLineChars="19"/>
        <w:rPr>
          <w:rFonts w:hint="eastAsia"/>
          <w:lang w:val="en-US" w:eastAsia="zh-CN"/>
        </w:rPr>
      </w:pPr>
      <w:r>
        <w:rPr>
          <w:rFonts w:hint="eastAsia"/>
          <w:lang w:val="en-US" w:eastAsia="zh-CN"/>
        </w:rPr>
        <w:t>入学训练开展情况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每年举行新生入学训练，学校全体行政领导、班主任及全体新生参加入学训练动员大会，入学训练为期5天。入学训练是同学们迈入新阶段的第一课，既是一次接受军事训练的好机会，又是一次高强度的意志训练和体能训练。入学训练既是对意志力的磨炼，也是对自信力的一次洗礼，它将成为同学们成长历程中的一段具有非常意义的宝贵经历，学校领导严谨地为新生们讲述、阐释学校的校史、校情、校训，让同学们了解学校过去、现在以及未来在发展中所做的种种努力和取得的突出成就，以校为荣；也让同学们深刻地感悟到“责任高于一切，发展在于努力”校训中所蕴含的振奋人心的力量，激发同学们弘扬优良传统，努力拼搏，责任担当，在新的起点上开创美好的未来，也为校争光！</w: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4142740" cy="2762250"/>
            <wp:effectExtent l="0" t="0" r="10160" b="0"/>
            <wp:docPr id="10" name="图片 10" descr="入学训练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入学训练 (4)"/>
                    <pic:cNvPicPr>
                      <a:picLocks noChangeAspect="1"/>
                    </pic:cNvPicPr>
                  </pic:nvPicPr>
                  <pic:blipFill>
                    <a:blip r:embed="rId22"/>
                    <a:stretch>
                      <a:fillRect/>
                    </a:stretch>
                  </pic:blipFill>
                  <pic:spPr>
                    <a:xfrm>
                      <a:off x="0" y="0"/>
                      <a:ext cx="4142740" cy="2762250"/>
                    </a:xfrm>
                    <a:prstGeom prst="rect">
                      <a:avLst/>
                    </a:prstGeom>
                  </pic:spPr>
                </pic:pic>
              </a:graphicData>
            </a:graphic>
          </wp:inline>
        </w:drawing>
      </w:r>
      <w:r>
        <w:rPr>
          <w:rFonts w:hint="eastAsia" w:ascii="宋体" w:hAnsi="宋体" w:eastAsia="宋体" w:cs="宋体"/>
          <w:sz w:val="24"/>
        </w:rPr>
        <w:drawing>
          <wp:inline distT="0" distB="0" distL="114300" distR="114300">
            <wp:extent cx="4253230" cy="2838450"/>
            <wp:effectExtent l="0" t="0" r="13970" b="0"/>
            <wp:docPr id="9" name="图片 9" descr="入学训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入学训练 (1)"/>
                    <pic:cNvPicPr>
                      <a:picLocks noChangeAspect="1"/>
                    </pic:cNvPicPr>
                  </pic:nvPicPr>
                  <pic:blipFill>
                    <a:blip r:embed="rId23"/>
                    <a:stretch>
                      <a:fillRect/>
                    </a:stretch>
                  </pic:blipFill>
                  <pic:spPr>
                    <a:xfrm>
                      <a:off x="0" y="0"/>
                      <a:ext cx="4253230" cy="2838450"/>
                    </a:xfrm>
                    <a:prstGeom prst="rect">
                      <a:avLst/>
                    </a:prstGeom>
                  </pic:spPr>
                </pic:pic>
              </a:graphicData>
            </a:graphic>
          </wp:inline>
        </w:drawing>
      </w:r>
      <w:r>
        <w:rPr>
          <w:rFonts w:hint="eastAsia" w:ascii="宋体" w:hAnsi="宋体" w:eastAsia="宋体" w:cs="宋体"/>
          <w:sz w:val="24"/>
        </w:rPr>
        <w:drawing>
          <wp:inline distT="0" distB="0" distL="114300" distR="114300">
            <wp:extent cx="4283710" cy="2859405"/>
            <wp:effectExtent l="0" t="0" r="2540" b="17145"/>
            <wp:docPr id="2" name="图片 2" descr="入学训练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入学训练 (2)"/>
                    <pic:cNvPicPr>
                      <a:picLocks noChangeAspect="1"/>
                    </pic:cNvPicPr>
                  </pic:nvPicPr>
                  <pic:blipFill>
                    <a:blip r:embed="rId24"/>
                    <a:stretch>
                      <a:fillRect/>
                    </a:stretch>
                  </pic:blipFill>
                  <pic:spPr>
                    <a:xfrm>
                      <a:off x="0" y="0"/>
                      <a:ext cx="4283710" cy="2859405"/>
                    </a:xfrm>
                    <a:prstGeom prst="rect">
                      <a:avLst/>
                    </a:prstGeom>
                  </pic:spPr>
                </pic:pic>
              </a:graphicData>
            </a:graphic>
          </wp:inline>
        </w:drawing>
      </w:r>
      <w:r>
        <w:rPr>
          <w:rFonts w:hint="eastAsia" w:ascii="宋体" w:hAnsi="宋体" w:eastAsia="宋体" w:cs="宋体"/>
          <w:sz w:val="24"/>
        </w:rPr>
        <w:drawing>
          <wp:inline distT="0" distB="0" distL="114300" distR="114300">
            <wp:extent cx="4672965" cy="3119120"/>
            <wp:effectExtent l="0" t="0" r="13335" b="5080"/>
            <wp:docPr id="1" name="图片 1" descr="入学训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入学训练 (3)"/>
                    <pic:cNvPicPr>
                      <a:picLocks noChangeAspect="1"/>
                    </pic:cNvPicPr>
                  </pic:nvPicPr>
                  <pic:blipFill>
                    <a:blip r:embed="rId25"/>
                    <a:stretch>
                      <a:fillRect/>
                    </a:stretch>
                  </pic:blipFill>
                  <pic:spPr>
                    <a:xfrm>
                      <a:off x="0" y="0"/>
                      <a:ext cx="4672965" cy="3119120"/>
                    </a:xfrm>
                    <a:prstGeom prst="rect">
                      <a:avLst/>
                    </a:prstGeom>
                  </pic:spPr>
                </pic:pic>
              </a:graphicData>
            </a:graphic>
          </wp:inline>
        </w:drawing>
      </w:r>
    </w:p>
    <w:p>
      <w:pPr>
        <w:spacing w:line="360" w:lineRule="auto"/>
        <w:ind w:firstLine="480" w:firstLineChars="200"/>
        <w:jc w:val="center"/>
        <w:rPr>
          <w:rFonts w:ascii="宋体" w:hAnsi="宋体" w:eastAsia="宋体" w:cs="宋体"/>
          <w:sz w:val="24"/>
        </w:rPr>
      </w:pPr>
      <w:r>
        <w:rPr>
          <w:rFonts w:hint="eastAsia" w:ascii="宋体" w:hAnsi="宋体" w:eastAsia="宋体" w:cs="宋体"/>
          <w:sz w:val="24"/>
        </w:rPr>
        <w:t>图2.7入学军训情况</w:t>
      </w:r>
    </w:p>
    <w:p>
      <w:pPr>
        <w:pStyle w:val="4"/>
        <w:bidi w:val="0"/>
        <w:ind w:left="425" w:leftChars="0" w:firstLine="53" w:firstLineChars="19"/>
        <w:rPr>
          <w:rFonts w:hint="eastAsia"/>
          <w:lang w:val="en-US" w:eastAsia="zh-CN"/>
        </w:rPr>
      </w:pPr>
      <w:r>
        <w:rPr>
          <w:rFonts w:hint="eastAsia"/>
          <w:lang w:val="en-US" w:eastAsia="zh-CN"/>
        </w:rPr>
        <w:t>党史学习进校园活动情况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2021年是中国共产党成立100周年的重大时刻，也是“两个一百年”奋斗目标历史交汇的关键节点，揭阳捷和职业技术学校开展一系列以“学百年党史，奋进新征程”为主题的党史教育学习活动。</w: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4568190" cy="3047365"/>
            <wp:effectExtent l="0" t="0" r="3810" b="635"/>
            <wp:docPr id="38" name="图片 38" descr="ef002ea78f21eec08a34b914db14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f002ea78f21eec08a34b914db146990"/>
                    <pic:cNvPicPr>
                      <a:picLocks noChangeAspect="1"/>
                    </pic:cNvPicPr>
                  </pic:nvPicPr>
                  <pic:blipFill>
                    <a:blip r:embed="rId26"/>
                    <a:stretch>
                      <a:fillRect/>
                    </a:stretch>
                  </pic:blipFill>
                  <pic:spPr>
                    <a:xfrm>
                      <a:off x="0" y="0"/>
                      <a:ext cx="4568190" cy="3047365"/>
                    </a:xfrm>
                    <a:prstGeom prst="rect">
                      <a:avLst/>
                    </a:prstGeom>
                  </pic:spPr>
                </pic:pic>
              </a:graphicData>
            </a:graphic>
          </wp:inline>
        </w:drawing>
      </w:r>
    </w:p>
    <w:p>
      <w:pPr>
        <w:spacing w:line="360" w:lineRule="auto"/>
        <w:jc w:val="center"/>
        <w:rPr>
          <w:rFonts w:hint="eastAsia" w:ascii="宋体" w:hAnsi="宋体" w:eastAsia="宋体" w:cs="宋体"/>
          <w:sz w:val="24"/>
        </w:rPr>
      </w:pPr>
      <w:r>
        <w:rPr>
          <w:rFonts w:hint="eastAsia" w:ascii="宋体" w:hAnsi="宋体" w:eastAsia="宋体" w:cs="宋体"/>
          <w:sz w:val="24"/>
        </w:rPr>
        <w:t>图2.8 党史学习进校园动员大会</w:t>
      </w:r>
    </w:p>
    <w:p>
      <w:pPr>
        <w:spacing w:line="360" w:lineRule="auto"/>
        <w:jc w:val="center"/>
        <w:rPr>
          <w:rFonts w:hint="eastAsia" w:ascii="宋体" w:hAnsi="宋体" w:eastAsia="宋体" w:cs="宋体"/>
          <w:sz w:val="24"/>
        </w:rPr>
      </w:pP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党总支在2021年3月11日召开了“学百年党史，奋进新征程”动员大会，在大会上学校党总支书记方惠元校长带领大家进一步学习习近平总书记在党史学习教育动员大会上的重要讲话精神、省市党史学习教育动员大会精神，认真落实党中央关于在全党开展党史学习教育的部署要求。并强调要把党史学习教育同落实立德树人根本任务结合起来，同为师生办实事结合起来；要进一步强化宗旨意识，广泛听取师生意见建议，切实把情况摸清楚、把症结分析透、把对策制定实、把难题破解好，切实增强广大师生获得感、幸福感、安全感。</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随后学校共开展包括“书记第一节思政课”在内的一系列“党史学习进校园”的活动。3月份结合活雷锋活动月，学校团委会开展了《传承雷锋精神 赓续初心使命 争做新时代好少年》团委学雷锋主题活动。同时为了更好的开展党史进校园的活动，学校党总支与党委会共同举办了“青年马克思主义者培养工程”活动，该活动的时间是一年。</w:t>
      </w:r>
    </w:p>
    <w:p>
      <w:pPr>
        <w:spacing w:line="360" w:lineRule="auto"/>
        <w:ind w:firstLine="480" w:firstLineChars="200"/>
        <w:rPr>
          <w:rFonts w:ascii="宋体" w:hAnsi="宋体"/>
          <w:szCs w:val="21"/>
        </w:rPr>
      </w:pPr>
      <w:r>
        <w:rPr>
          <w:rFonts w:hint="eastAsia" w:ascii="宋体" w:hAnsi="宋体"/>
          <w:szCs w:val="21"/>
        </w:rPr>
        <w:t xml:space="preserve"> </w:t>
      </w:r>
      <w:r>
        <w:rPr>
          <w:rFonts w:ascii="宋体" w:hAnsi="宋体"/>
          <w:szCs w:val="21"/>
        </w:rPr>
        <w:drawing>
          <wp:inline distT="0" distB="0" distL="114300" distR="114300">
            <wp:extent cx="4552950" cy="3037205"/>
            <wp:effectExtent l="0" t="0" r="0" b="10795"/>
            <wp:docPr id="44" name="图片 44" descr="240716b3a3637b20d4226b17c251f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40716b3a3637b20d4226b17c251fe74"/>
                    <pic:cNvPicPr>
                      <a:picLocks noChangeAspect="1"/>
                    </pic:cNvPicPr>
                  </pic:nvPicPr>
                  <pic:blipFill>
                    <a:blip r:embed="rId27"/>
                    <a:stretch>
                      <a:fillRect/>
                    </a:stretch>
                  </pic:blipFill>
                  <pic:spPr>
                    <a:xfrm>
                      <a:off x="0" y="0"/>
                      <a:ext cx="4552950" cy="3037205"/>
                    </a:xfrm>
                    <a:prstGeom prst="rect">
                      <a:avLst/>
                    </a:prstGeom>
                  </pic:spPr>
                </pic:pic>
              </a:graphicData>
            </a:graphic>
          </wp:inline>
        </w:drawing>
      </w:r>
    </w:p>
    <w:p>
      <w:pPr>
        <w:spacing w:line="360" w:lineRule="auto"/>
        <w:ind w:firstLine="480" w:firstLineChars="200"/>
        <w:jc w:val="center"/>
        <w:rPr>
          <w:rFonts w:ascii="宋体" w:hAnsi="宋体"/>
          <w:szCs w:val="21"/>
        </w:rPr>
      </w:pPr>
      <w:r>
        <w:rPr>
          <w:rFonts w:hint="eastAsia" w:ascii="宋体" w:hAnsi="宋体"/>
          <w:szCs w:val="21"/>
        </w:rPr>
        <w:t>图2.9 书记第一节思政课</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4月份开始，结合职业学校的实际，围绕“少年工匠心向党，青春奋进新时代”这一主题，开展了一系列的主题活动，包括了《响应时代号召 履行青年责任》《染一身书香气 争做时代好少年》《博学慎思 明辨笃行 牢记初心 不忘使命》《唱响红歌迎五四 筑梦青春颂党恩》以及校园辩论赛同时围绕“学党史 强信念 跟党走”的党史主题学习系列活动，这个系列活动包括了党史专题学习以及征文演讲比赛。</w:t>
      </w:r>
    </w:p>
    <w:p>
      <w:pPr>
        <w:spacing w:line="360" w:lineRule="auto"/>
        <w:ind w:firstLine="480" w:firstLineChars="200"/>
        <w:jc w:val="center"/>
        <w:rPr>
          <w:rFonts w:ascii="宋体" w:hAnsi="宋体"/>
          <w:szCs w:val="21"/>
        </w:rPr>
      </w:pPr>
      <w:r>
        <w:rPr>
          <w:rFonts w:hint="eastAsia" w:ascii="宋体" w:hAnsi="宋体"/>
          <w:szCs w:val="21"/>
        </w:rPr>
        <w:drawing>
          <wp:inline distT="0" distB="0" distL="114300" distR="114300">
            <wp:extent cx="3839210" cy="2560955"/>
            <wp:effectExtent l="0" t="0" r="8890" b="10795"/>
            <wp:docPr id="45" name="图片 45" descr="ae46b139c577d601dc8d60422b911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e46b139c577d601dc8d60422b9117ec"/>
                    <pic:cNvPicPr>
                      <a:picLocks noChangeAspect="1"/>
                    </pic:cNvPicPr>
                  </pic:nvPicPr>
                  <pic:blipFill>
                    <a:blip r:embed="rId28"/>
                    <a:stretch>
                      <a:fillRect/>
                    </a:stretch>
                  </pic:blipFill>
                  <pic:spPr>
                    <a:xfrm>
                      <a:off x="0" y="0"/>
                      <a:ext cx="3839210" cy="2560955"/>
                    </a:xfrm>
                    <a:prstGeom prst="rect">
                      <a:avLst/>
                    </a:prstGeom>
                  </pic:spPr>
                </pic:pic>
              </a:graphicData>
            </a:graphic>
          </wp:inline>
        </w:drawing>
      </w:r>
    </w:p>
    <w:p>
      <w:pPr>
        <w:spacing w:line="360" w:lineRule="auto"/>
        <w:ind w:firstLine="480" w:firstLineChars="200"/>
        <w:jc w:val="center"/>
        <w:rPr>
          <w:rFonts w:ascii="宋体" w:hAnsi="宋体"/>
          <w:szCs w:val="21"/>
        </w:rPr>
      </w:pPr>
      <w:r>
        <w:rPr>
          <w:rFonts w:hint="eastAsia" w:ascii="宋体" w:hAnsi="宋体"/>
          <w:szCs w:val="21"/>
        </w:rPr>
        <w:t>图2.10 “青马班”开班典礼</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5月份通过结合技能艺术节的活动，学校还举办了庆祝举办了中国共产党成立100周年系列活动，包括学校的技能竞赛、书画笔友会以及技能艺术节闭幕的文艺晚会。同时学校还组织了全校党员干部、班主任以及骨干教师前往梅州大埔县、梅县区等红色教育基地开展以“学党史 缅先烈 守初心 担使命”为主题的党史学习教育。团委会在五四青年节前夕还组织了唱红歌歌唱比赛活动。</w:t>
      </w:r>
    </w:p>
    <w:p>
      <w:pPr>
        <w:spacing w:line="360" w:lineRule="auto"/>
        <w:jc w:val="center"/>
        <w:rPr>
          <w:szCs w:val="21"/>
        </w:rPr>
      </w:pPr>
      <w:r>
        <w:rPr>
          <w:szCs w:val="21"/>
        </w:rPr>
        <w:drawing>
          <wp:inline distT="0" distB="0" distL="114300" distR="114300">
            <wp:extent cx="4800600" cy="3600450"/>
            <wp:effectExtent l="0" t="0" r="0" b="0"/>
            <wp:docPr id="46" name="图片 46" descr="ce428d8c9b9d63a22facb01351cf1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e428d8c9b9d63a22facb01351cf17a5"/>
                    <pic:cNvPicPr>
                      <a:picLocks noChangeAspect="1"/>
                    </pic:cNvPicPr>
                  </pic:nvPicPr>
                  <pic:blipFill>
                    <a:blip r:embed="rId29"/>
                    <a:stretch>
                      <a:fillRect/>
                    </a:stretch>
                  </pic:blipFill>
                  <pic:spPr>
                    <a:xfrm>
                      <a:off x="0" y="0"/>
                      <a:ext cx="4800600" cy="3600450"/>
                    </a:xfrm>
                    <a:prstGeom prst="rect">
                      <a:avLst/>
                    </a:prstGeom>
                  </pic:spPr>
                </pic:pic>
              </a:graphicData>
            </a:graphic>
          </wp:inline>
        </w:drawing>
      </w:r>
    </w:p>
    <w:p>
      <w:pPr>
        <w:spacing w:line="360" w:lineRule="auto"/>
        <w:jc w:val="center"/>
        <w:rPr>
          <w:szCs w:val="21"/>
        </w:rPr>
      </w:pPr>
      <w:r>
        <w:rPr>
          <w:rFonts w:hint="eastAsia"/>
          <w:szCs w:val="21"/>
        </w:rPr>
        <w:t>图2.11 党史专题学习活动</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6月份，学校团委会继续推进“少年工匠心向党，青春奋进新时代”主题系列活动，开展了“博学慎思，明辨笃行，不忘初心，牢记使命”为主题的校园辩论赛总决赛”。紧接着学校开展了以“技能让生活更美好”为主题的职业教育活动周系列活动，通过学生作品义卖、志愿者服务等校园活动的形式，极大地激发了学生创新创业的活力。</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在7月份，为纪念建党100周年，学校党总支开展了一系列的主题活动。在7月1日当天学校党总支组织全校师生观看“中国共产党建党100周年庆祝大会”的活动。</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9月的开学季，学校开展了“赓续初心，完美起航”的主题系列活动，学校党总支开展了“赓续初心，完美起航”的新学期教师开学活动，仪式感满满的主题活动让全体教职员工感受到了扬帆起航的气魄，为新学期新开局奠定了一个良好的工作氛围。学校通过团委会也为学生们开展了“赓续初心，完美起航”的新生开学活动，通过书记第一节思政党课、新生入学训练、团委会全体大会、团支书岗位技能培训大会等活动，开启了同学们新学期的活动。9月30日当天在学校党总支副书记曾骅副校长的带领下，学校党总支以及学校团委会来到了梅云竹林烈士纪念碑前开展“烈士公祭日”活动，活动中通过领导、代表发言，默哀致敬、重温入党、入团誓词等方式激发了学生的爱国热情，达到了传承红色基因，弘扬革命精神和爱国主义精神的目的。</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踏入10月份，学校党总支与团委会开展了“党史为镜，照亮青春，拾梦青马，不负韶华”的“我为群众办实事”志愿者主题活动。通过到红色革命基地，开展打扫卫生等志愿者活动，教师开展红色故事讲解活动等形式践行了“学党史，悟思想，办实事，开新局”这一主题。</w:t>
      </w:r>
    </w:p>
    <w:p>
      <w:pPr>
        <w:pStyle w:val="4"/>
        <w:bidi w:val="0"/>
        <w:ind w:left="425" w:leftChars="0" w:firstLine="53" w:firstLineChars="19"/>
        <w:rPr>
          <w:rFonts w:hint="eastAsia"/>
          <w:lang w:val="en-US" w:eastAsia="zh-CN"/>
        </w:rPr>
      </w:pPr>
      <w:r>
        <w:rPr>
          <w:rFonts w:hint="eastAsia"/>
          <w:lang w:val="en-US" w:eastAsia="zh-CN"/>
        </w:rPr>
        <w:t>班风评比情况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班级文化评比是我校在班风测评中创新的一个德育活动，主要是通过同专业特色相结合，开展具有自己专业特色的班级文化布置，该活动很好地丰富学校校园文化生活，突出文化育人氛围，提高文化环境育人功能。</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240" w:firstLineChars="1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活动目标：</w:t>
      </w:r>
    </w:p>
    <w:p>
      <w:pPr>
        <w:pStyle w:val="6"/>
        <w:bidi w:val="0"/>
        <w:rPr>
          <w:rFonts w:hint="eastAsia"/>
        </w:rPr>
      </w:pPr>
      <w:r>
        <w:rPr>
          <w:rFonts w:hint="eastAsia"/>
        </w:rPr>
        <w:t>通过班级文化建设活动，打造和谐特色的校园文化、树立良好的班风和学风。</w:t>
      </w:r>
    </w:p>
    <w:p>
      <w:pPr>
        <w:pStyle w:val="6"/>
        <w:bidi w:val="0"/>
        <w:rPr>
          <w:rFonts w:hint="eastAsia"/>
        </w:rPr>
      </w:pPr>
      <w:r>
        <w:rPr>
          <w:rFonts w:hint="eastAsia"/>
        </w:rPr>
        <w:t>通过建立班级规章制度，通过富有班级特色的文化，创造良好的学习环境，营造浓浓的育人氛围。</w:t>
      </w:r>
    </w:p>
    <w:p>
      <w:pPr>
        <w:pStyle w:val="6"/>
        <w:bidi w:val="0"/>
        <w:rPr>
          <w:rFonts w:hint="eastAsia"/>
        </w:rPr>
      </w:pPr>
      <w:r>
        <w:rPr>
          <w:rFonts w:hint="eastAsia"/>
        </w:rPr>
        <w:t>班级的每一个角落都能时刻体现无声地提醒学生、警示学生、教育学生的班级文化。</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参加对象：全体班级</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fldChar w:fldCharType="begin"/>
      </w:r>
      <w:r>
        <w:rPr>
          <w:rFonts w:hint="eastAsia"/>
        </w:rPr>
        <w:instrText xml:space="preserve"> HYPERLINK "http://www.16buzhi.com/" </w:instrText>
      </w:r>
      <w:r>
        <w:rPr>
          <w:rFonts w:hint="eastAsia"/>
        </w:rPr>
        <w:fldChar w:fldCharType="separate"/>
      </w:r>
      <w:r>
        <w:rPr>
          <w:rFonts w:hint="eastAsia"/>
        </w:rPr>
        <w:t>班级文化布置</w:t>
      </w:r>
      <w:r>
        <w:rPr>
          <w:rFonts w:hint="eastAsia"/>
        </w:rPr>
        <w:fldChar w:fldCharType="end"/>
      </w:r>
      <w:r>
        <w:rPr>
          <w:rFonts w:hint="eastAsia"/>
        </w:rPr>
        <w:t>的评比内容及标准：</w:t>
      </w:r>
    </w:p>
    <w:p>
      <w:pPr>
        <w:pStyle w:val="6"/>
        <w:numPr>
          <w:ilvl w:val="0"/>
          <w:numId w:val="8"/>
        </w:numPr>
        <w:bidi w:val="0"/>
        <w:ind w:firstLine="723"/>
        <w:rPr>
          <w:rFonts w:hint="eastAsia"/>
        </w:rPr>
      </w:pPr>
      <w:r>
        <w:rPr>
          <w:rFonts w:hint="eastAsia"/>
        </w:rPr>
        <w:t>班级布置的整体效果：体现班级特色，图文并茂，装饰美观。不破坏墙体，不得乱张贴；整体协调、布局统一，既能美化环境，又能陶冶学生情操;</w:t>
      </w:r>
    </w:p>
    <w:p>
      <w:pPr>
        <w:pStyle w:val="6"/>
        <w:numPr>
          <w:ilvl w:val="0"/>
          <w:numId w:val="8"/>
        </w:numPr>
        <w:bidi w:val="0"/>
        <w:ind w:firstLine="723"/>
        <w:rPr>
          <w:rFonts w:hint="eastAsia"/>
        </w:rPr>
      </w:pPr>
      <w:r>
        <w:rPr>
          <w:rFonts w:hint="eastAsia"/>
        </w:rPr>
        <w:t>学习氛围创设：充分体现浓厚的“比、学、赶、超”的书香学习氛围、和谐育人环境;</w:t>
      </w:r>
    </w:p>
    <w:p>
      <w:pPr>
        <w:pStyle w:val="6"/>
        <w:numPr>
          <w:ilvl w:val="0"/>
          <w:numId w:val="8"/>
        </w:numPr>
        <w:bidi w:val="0"/>
        <w:ind w:firstLine="723"/>
        <w:rPr>
          <w:rFonts w:hint="eastAsia"/>
        </w:rPr>
      </w:pPr>
      <w:r>
        <w:rPr>
          <w:rFonts w:hint="eastAsia"/>
        </w:rPr>
        <w:t>教室的物品摆放要整齐。课桌椅的摆放也要做到整齐划一，尽量做到横平竖直，课桌内不得遗留废纸、铅笔屑、食品包装袋等垃圾;</w:t>
      </w:r>
    </w:p>
    <w:p>
      <w:pPr>
        <w:pStyle w:val="6"/>
        <w:numPr>
          <w:ilvl w:val="0"/>
          <w:numId w:val="8"/>
        </w:numPr>
        <w:bidi w:val="0"/>
        <w:ind w:firstLine="723"/>
        <w:rPr>
          <w:rFonts w:hint="eastAsia"/>
        </w:rPr>
      </w:pPr>
      <w:r>
        <w:rPr>
          <w:rFonts w:hint="eastAsia"/>
        </w:rPr>
        <w:t>卫生角。打扫教室用的所有用品摆放整齐；　</w:t>
      </w:r>
    </w:p>
    <w:p>
      <w:pPr>
        <w:pStyle w:val="6"/>
        <w:numPr>
          <w:ilvl w:val="0"/>
          <w:numId w:val="8"/>
        </w:numPr>
        <w:bidi w:val="0"/>
        <w:ind w:firstLine="723"/>
        <w:rPr>
          <w:rFonts w:hint="eastAsia"/>
        </w:rPr>
      </w:pPr>
      <w:r>
        <w:rPr>
          <w:rFonts w:hint="eastAsia"/>
        </w:rPr>
        <w:t>图书角。书本摆放整齐，布置有特色；</w:t>
      </w:r>
    </w:p>
    <w:p>
      <w:pPr>
        <w:pStyle w:val="6"/>
        <w:numPr>
          <w:ilvl w:val="0"/>
          <w:numId w:val="8"/>
        </w:numPr>
        <w:bidi w:val="0"/>
        <w:ind w:firstLine="723"/>
        <w:rPr>
          <w:rFonts w:hint="eastAsia"/>
        </w:rPr>
      </w:pPr>
      <w:r>
        <w:rPr>
          <w:rFonts w:hint="eastAsia"/>
        </w:rPr>
        <w:t>生态角：能充分体现生态型班级以及学生的相伴共成长。如花 鱼等</w:t>
      </w:r>
    </w:p>
    <w:p>
      <w:pPr>
        <w:pStyle w:val="6"/>
        <w:numPr>
          <w:ilvl w:val="0"/>
          <w:numId w:val="8"/>
        </w:numPr>
        <w:bidi w:val="0"/>
        <w:ind w:left="0" w:leftChars="0" w:firstLine="480" w:firstLineChars="200"/>
        <w:rPr>
          <w:rFonts w:hint="eastAsia"/>
        </w:rPr>
      </w:pPr>
      <w:r>
        <w:rPr>
          <w:rFonts w:hint="eastAsia"/>
        </w:rPr>
        <w:t>展板布置：要求一是要符合学生年龄特征和心理特征。二是主题鲜明，彰显班级个性。三是要激发学生主动参与，体现学生的主人翁意识。</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各班级以活动为起点，以校园整体文化为依托，不断提升班级文化布置品味，体现文化育人功能，营造和谐、向上的氛围，凸显自身特色。</w: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3708400" cy="2472055"/>
            <wp:effectExtent l="0" t="0" r="6350" b="4445"/>
            <wp:docPr id="29" name="图片 29" descr="FD6A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D6A5861"/>
                    <pic:cNvPicPr>
                      <a:picLocks noChangeAspect="1"/>
                    </pic:cNvPicPr>
                  </pic:nvPicPr>
                  <pic:blipFill>
                    <a:blip r:embed="rId30"/>
                    <a:stretch>
                      <a:fillRect/>
                    </a:stretch>
                  </pic:blipFill>
                  <pic:spPr>
                    <a:xfrm>
                      <a:off x="0" y="0"/>
                      <a:ext cx="3708400" cy="2472055"/>
                    </a:xfrm>
                    <a:prstGeom prst="rect">
                      <a:avLst/>
                    </a:prstGeom>
                  </pic:spPr>
                </pic:pic>
              </a:graphicData>
            </a:graphic>
          </wp:inline>
        </w:drawing>
      </w:r>
    </w:p>
    <w:p>
      <w:pPr>
        <w:spacing w:line="360" w:lineRule="auto"/>
        <w:jc w:val="center"/>
        <w:rPr>
          <w:rFonts w:ascii="宋体" w:hAnsi="宋体" w:eastAsia="宋体" w:cs="宋体"/>
          <w:sz w:val="24"/>
        </w:rPr>
      </w:pP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4412615" cy="2941320"/>
            <wp:effectExtent l="0" t="0" r="6985" b="11430"/>
            <wp:docPr id="28" name="图片 28" descr="FD6A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D6A5782"/>
                    <pic:cNvPicPr>
                      <a:picLocks noChangeAspect="1"/>
                    </pic:cNvPicPr>
                  </pic:nvPicPr>
                  <pic:blipFill>
                    <a:blip r:embed="rId31"/>
                    <a:stretch>
                      <a:fillRect/>
                    </a:stretch>
                  </pic:blipFill>
                  <pic:spPr>
                    <a:xfrm>
                      <a:off x="0" y="0"/>
                      <a:ext cx="4412615" cy="2941320"/>
                    </a:xfrm>
                    <a:prstGeom prst="rect">
                      <a:avLst/>
                    </a:prstGeom>
                  </pic:spPr>
                </pic:pic>
              </a:graphicData>
            </a:graphic>
          </wp:inline>
        </w:drawing>
      </w:r>
    </w:p>
    <w:p>
      <w:pPr>
        <w:spacing w:line="360" w:lineRule="auto"/>
        <w:rPr>
          <w:rFonts w:ascii="宋体" w:hAnsi="宋体" w:eastAsia="宋体" w:cs="宋体"/>
          <w:sz w:val="24"/>
        </w:rPr>
      </w:pPr>
    </w:p>
    <w:p>
      <w:pPr>
        <w:spacing w:line="360" w:lineRule="auto"/>
        <w:jc w:val="center"/>
        <w:rPr>
          <w:rFonts w:ascii="宋体" w:hAnsi="宋体" w:eastAsia="宋体" w:cs="宋体"/>
          <w:sz w:val="24"/>
        </w:rPr>
      </w:pPr>
      <w:r>
        <w:rPr>
          <w:rFonts w:hint="eastAsia" w:ascii="宋体" w:hAnsi="宋体" w:eastAsia="宋体" w:cs="宋体"/>
          <w:sz w:val="24"/>
        </w:rPr>
        <w:drawing>
          <wp:anchor distT="0" distB="0" distL="114300" distR="114300" simplePos="0" relativeHeight="251659264" behindDoc="0" locked="0" layoutInCell="1" allowOverlap="1">
            <wp:simplePos x="0" y="0"/>
            <wp:positionH relativeFrom="column">
              <wp:posOffset>2117725</wp:posOffset>
            </wp:positionH>
            <wp:positionV relativeFrom="paragraph">
              <wp:posOffset>826770</wp:posOffset>
            </wp:positionV>
            <wp:extent cx="3411855" cy="2274570"/>
            <wp:effectExtent l="0" t="0" r="11430" b="17145"/>
            <wp:wrapSquare wrapText="bothSides"/>
            <wp:docPr id="37" name="图片 37" descr="FD6A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D6A5771"/>
                    <pic:cNvPicPr>
                      <a:picLocks noChangeAspect="1"/>
                    </pic:cNvPicPr>
                  </pic:nvPicPr>
                  <pic:blipFill>
                    <a:blip r:embed="rId32"/>
                    <a:stretch>
                      <a:fillRect/>
                    </a:stretch>
                  </pic:blipFill>
                  <pic:spPr>
                    <a:xfrm rot="16200000">
                      <a:off x="0" y="0"/>
                      <a:ext cx="3411855" cy="2274570"/>
                    </a:xfrm>
                    <a:prstGeom prst="rect">
                      <a:avLst/>
                    </a:prstGeom>
                  </pic:spPr>
                </pic:pic>
              </a:graphicData>
            </a:graphic>
          </wp:anchor>
        </w:drawing>
      </w:r>
    </w:p>
    <w:p>
      <w:pPr>
        <w:spacing w:line="360" w:lineRule="auto"/>
        <w:jc w:val="center"/>
        <w:rPr>
          <w:rFonts w:ascii="宋体" w:hAnsi="宋体" w:eastAsia="宋体" w:cs="宋体"/>
          <w:sz w:val="24"/>
        </w:rPr>
      </w:pPr>
      <w:r>
        <w:rPr>
          <w:rFonts w:hint="eastAsia" w:ascii="宋体" w:hAnsi="宋体" w:eastAsia="宋体" w:cs="宋体"/>
          <w:sz w:val="24"/>
        </w:rPr>
        <w:drawing>
          <wp:anchor distT="0" distB="0" distL="114300" distR="114300" simplePos="0" relativeHeight="251666432" behindDoc="0" locked="0" layoutInCell="1" allowOverlap="1">
            <wp:simplePos x="0" y="0"/>
            <wp:positionH relativeFrom="column">
              <wp:posOffset>-473710</wp:posOffset>
            </wp:positionH>
            <wp:positionV relativeFrom="paragraph">
              <wp:posOffset>568960</wp:posOffset>
            </wp:positionV>
            <wp:extent cx="3362325" cy="2241550"/>
            <wp:effectExtent l="0" t="0" r="6350" b="9525"/>
            <wp:wrapSquare wrapText="bothSides"/>
            <wp:docPr id="36" name="图片 36" descr="FD6A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D6A5806"/>
                    <pic:cNvPicPr>
                      <a:picLocks noChangeAspect="1"/>
                    </pic:cNvPicPr>
                  </pic:nvPicPr>
                  <pic:blipFill>
                    <a:blip r:embed="rId33"/>
                    <a:stretch>
                      <a:fillRect/>
                    </a:stretch>
                  </pic:blipFill>
                  <pic:spPr>
                    <a:xfrm rot="16200000">
                      <a:off x="0" y="0"/>
                      <a:ext cx="3362325" cy="2241550"/>
                    </a:xfrm>
                    <a:prstGeom prst="rect">
                      <a:avLst/>
                    </a:prstGeom>
                  </pic:spPr>
                </pic:pic>
              </a:graphicData>
            </a:graphic>
          </wp:anchor>
        </w:drawing>
      </w:r>
    </w:p>
    <w:p>
      <w:pPr>
        <w:spacing w:line="360" w:lineRule="auto"/>
        <w:jc w:val="left"/>
        <w:rPr>
          <w:rFonts w:ascii="宋体" w:hAnsi="宋体" w:eastAsia="宋体" w:cs="宋体"/>
          <w:sz w:val="24"/>
        </w:rPr>
      </w:pPr>
      <w:r>
        <w:rPr>
          <w:rFonts w:hint="eastAsia" w:ascii="宋体" w:hAnsi="宋体" w:eastAsia="宋体" w:cs="宋体"/>
          <w:color w:val="C00000"/>
          <w:sz w:val="24"/>
        </w:rPr>
        <w:t xml:space="preserve">                      </w:t>
      </w:r>
      <w:r>
        <w:rPr>
          <w:rFonts w:hint="eastAsia" w:ascii="宋体" w:hAnsi="宋体" w:eastAsia="宋体" w:cs="宋体"/>
          <w:sz w:val="24"/>
        </w:rPr>
        <w:t>图2.12 班风评比活动的作品</w:t>
      </w:r>
    </w:p>
    <w:p>
      <w:pPr>
        <w:spacing w:line="360" w:lineRule="auto"/>
        <w:ind w:firstLine="480" w:firstLineChars="200"/>
        <w:jc w:val="left"/>
        <w:rPr>
          <w:rFonts w:ascii="宋体" w:hAnsi="宋体" w:eastAsia="宋体" w:cs="宋体"/>
          <w:sz w:val="24"/>
        </w:rPr>
      </w:pPr>
    </w:p>
    <w:p>
      <w:pPr>
        <w:pStyle w:val="4"/>
        <w:bidi w:val="0"/>
        <w:ind w:left="425" w:leftChars="0" w:firstLine="53" w:firstLineChars="19"/>
        <w:rPr>
          <w:rFonts w:hint="eastAsia"/>
          <w:lang w:val="en-US" w:eastAsia="zh-CN"/>
        </w:rPr>
      </w:pPr>
      <w:r>
        <w:rPr>
          <w:rFonts w:hint="eastAsia"/>
          <w:lang w:val="en-US" w:eastAsia="zh-CN"/>
        </w:rPr>
        <w:t>校运会开展情况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每年的12月份都是我们学校举行校运会的时间，校运会是我校一年一度中最为盛大的活动之一。校运会以全校师生增强体质，发挥特长，促进发展，充分展现我校师生“运动、文明、健康、快乐”的精神风貌为目标，在为期一个的校运会上通过各项精彩的赛事彰显捷和职校学子风采！学校师生都以高昂的斗志和顽强的精神积极参赛，赛出风格，赛出成绩，为班级争光。</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同时校运会也是我们学校每年“除旧迎新”的起点，每年的校运会都是以“跨年活动”的形式作为校运会闭幕仪式，这是在昭示我们学校广大师生将以更加饱满的热情、积极的心态迈步跨进新的一年，激扬青春活力，共建文明校园，共创美好明天！</w: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4025900" cy="2687320"/>
            <wp:effectExtent l="0" t="0" r="12700" b="17780"/>
            <wp:docPr id="14" name="图片 14" descr="体育节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体育节 (1)-2"/>
                    <pic:cNvPicPr>
                      <a:picLocks noChangeAspect="1"/>
                    </pic:cNvPicPr>
                  </pic:nvPicPr>
                  <pic:blipFill>
                    <a:blip r:embed="rId34"/>
                    <a:stretch>
                      <a:fillRect/>
                    </a:stretch>
                  </pic:blipFill>
                  <pic:spPr>
                    <a:xfrm>
                      <a:off x="0" y="0"/>
                      <a:ext cx="4025900" cy="2687320"/>
                    </a:xfrm>
                    <a:prstGeom prst="rect">
                      <a:avLst/>
                    </a:prstGeom>
                  </pic:spPr>
                </pic:pic>
              </a:graphicData>
            </a:graphic>
          </wp:inline>
        </w:drawing>
      </w:r>
    </w:p>
    <w:p>
      <w:pPr>
        <w:spacing w:line="360" w:lineRule="auto"/>
        <w:ind w:firstLine="723"/>
        <w:jc w:val="center"/>
        <w:rPr>
          <w:rFonts w:ascii="宋体" w:hAnsi="宋体" w:eastAsia="宋体" w:cs="宋体"/>
          <w:sz w:val="24"/>
        </w:rPr>
      </w:pPr>
      <w:r>
        <w:rPr>
          <w:rFonts w:hint="eastAsia" w:ascii="宋体" w:hAnsi="宋体" w:eastAsia="宋体" w:cs="宋体"/>
          <w:sz w:val="24"/>
        </w:rPr>
        <w:t>图2.13 校运会开幕式</w:t>
      </w:r>
      <w:r>
        <w:rPr>
          <w:rFonts w:hint="eastAsia" w:ascii="宋体" w:hAnsi="宋体" w:eastAsia="宋体" w:cs="宋体"/>
          <w:sz w:val="24"/>
        </w:rPr>
        <w:drawing>
          <wp:inline distT="0" distB="0" distL="114300" distR="114300">
            <wp:extent cx="3672205" cy="2451100"/>
            <wp:effectExtent l="0" t="0" r="4445" b="6350"/>
            <wp:docPr id="16" name="图片 16" descr="体育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体育节 (2)"/>
                    <pic:cNvPicPr>
                      <a:picLocks noChangeAspect="1"/>
                    </pic:cNvPicPr>
                  </pic:nvPicPr>
                  <pic:blipFill>
                    <a:blip r:embed="rId35"/>
                    <a:stretch>
                      <a:fillRect/>
                    </a:stretch>
                  </pic:blipFill>
                  <pic:spPr>
                    <a:xfrm>
                      <a:off x="0" y="0"/>
                      <a:ext cx="3672205" cy="2451100"/>
                    </a:xfrm>
                    <a:prstGeom prst="rect">
                      <a:avLst/>
                    </a:prstGeom>
                  </pic:spPr>
                </pic:pic>
              </a:graphicData>
            </a:graphic>
          </wp:inline>
        </w:drawing>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4096385" cy="2731770"/>
            <wp:effectExtent l="0" t="0" r="18415" b="11430"/>
            <wp:docPr id="15" name="图片 15" descr="体育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体育节 (1)"/>
                    <pic:cNvPicPr>
                      <a:picLocks noChangeAspect="1"/>
                    </pic:cNvPicPr>
                  </pic:nvPicPr>
                  <pic:blipFill>
                    <a:blip r:embed="rId36"/>
                    <a:stretch>
                      <a:fillRect/>
                    </a:stretch>
                  </pic:blipFill>
                  <pic:spPr>
                    <a:xfrm>
                      <a:off x="0" y="0"/>
                      <a:ext cx="4096385" cy="2731770"/>
                    </a:xfrm>
                    <a:prstGeom prst="rect">
                      <a:avLst/>
                    </a:prstGeom>
                  </pic:spPr>
                </pic:pic>
              </a:graphicData>
            </a:graphic>
          </wp:inline>
        </w:drawing>
      </w:r>
    </w:p>
    <w:p>
      <w:pPr>
        <w:spacing w:line="360" w:lineRule="auto"/>
        <w:jc w:val="center"/>
        <w:rPr>
          <w:rFonts w:ascii="宋体" w:hAnsi="宋体" w:eastAsia="宋体" w:cs="宋体"/>
          <w:sz w:val="24"/>
        </w:rPr>
      </w:pPr>
      <w:r>
        <w:rPr>
          <w:rFonts w:hint="eastAsia" w:ascii="宋体" w:hAnsi="宋体" w:eastAsia="宋体" w:cs="宋体"/>
          <w:sz w:val="24"/>
        </w:rPr>
        <w:t>图2.14 校运会活动过程</w:t>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4454525" cy="2197735"/>
            <wp:effectExtent l="0" t="0" r="3175" b="12065"/>
            <wp:docPr id="33" name="图片 33" descr="微信图片_202111042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1104200509"/>
                    <pic:cNvPicPr>
                      <a:picLocks noChangeAspect="1"/>
                    </pic:cNvPicPr>
                  </pic:nvPicPr>
                  <pic:blipFill>
                    <a:blip r:embed="rId37"/>
                    <a:stretch>
                      <a:fillRect/>
                    </a:stretch>
                  </pic:blipFill>
                  <pic:spPr>
                    <a:xfrm>
                      <a:off x="0" y="0"/>
                      <a:ext cx="4454525" cy="2197735"/>
                    </a:xfrm>
                    <a:prstGeom prst="rect">
                      <a:avLst/>
                    </a:prstGeom>
                  </pic:spPr>
                </pic:pic>
              </a:graphicData>
            </a:graphic>
          </wp:inline>
        </w:drawing>
      </w:r>
    </w:p>
    <w:p>
      <w:pPr>
        <w:spacing w:line="360" w:lineRule="auto"/>
        <w:jc w:val="center"/>
        <w:rPr>
          <w:rFonts w:ascii="宋体" w:hAnsi="宋体" w:eastAsia="宋体" w:cs="宋体"/>
          <w:sz w:val="24"/>
        </w:rPr>
      </w:pPr>
      <w:r>
        <w:rPr>
          <w:rFonts w:hint="eastAsia" w:ascii="宋体" w:hAnsi="宋体" w:eastAsia="宋体" w:cs="宋体"/>
          <w:sz w:val="24"/>
        </w:rPr>
        <w:t>图2.15 校运会闭幕晚会</w:t>
      </w:r>
    </w:p>
    <w:p>
      <w:pPr>
        <w:pStyle w:val="4"/>
        <w:bidi w:val="0"/>
        <w:ind w:left="425" w:leftChars="0" w:firstLine="53" w:firstLineChars="19"/>
        <w:rPr>
          <w:rFonts w:hint="eastAsia"/>
          <w:lang w:val="en-US" w:eastAsia="zh-CN"/>
        </w:rPr>
      </w:pPr>
      <w:r>
        <w:rPr>
          <w:rFonts w:hint="eastAsia"/>
          <w:lang w:val="en-US" w:eastAsia="zh-CN"/>
        </w:rPr>
        <w:t>德育工作取得的成果</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在学校党总支的带领下，经过一年的努力，学校的德育工作无论是在班主任工作上，还是学生工作上都取得了一系列的成果，具体如下：</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班主任队伍建设成果</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班主任队伍建设是学校德育工作最为核心的一个环节，学校学生处日常的班主任日常工作会议、班主任队伍培训等活动形式之外，还通过举办班主任能力大赛来推动班主任队伍的建设和发展，其中涌现出了一批优秀的班主任，为学校的班主任工作发展打下了坚实的基础。</w:t>
      </w:r>
    </w:p>
    <w:p>
      <w:pPr>
        <w:spacing w:line="360" w:lineRule="auto"/>
        <w:ind w:firstLine="480" w:firstLineChars="200"/>
        <w:jc w:val="center"/>
        <w:rPr>
          <w:rFonts w:ascii="宋体" w:hAnsi="宋体" w:eastAsia="宋体" w:cs="宋体"/>
          <w:sz w:val="24"/>
        </w:rPr>
      </w:pPr>
      <w:r>
        <w:rPr>
          <w:rFonts w:hint="eastAsia" w:ascii="宋体" w:hAnsi="宋体" w:eastAsia="宋体" w:cs="宋体"/>
          <w:sz w:val="24"/>
        </w:rPr>
        <w:drawing>
          <wp:inline distT="0" distB="0" distL="114300" distR="114300">
            <wp:extent cx="3571240" cy="2985135"/>
            <wp:effectExtent l="0" t="0" r="10160" b="5715"/>
            <wp:docPr id="49" name="图片 49" descr="f9f186a381d2a4633b176d867246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9f186a381d2a4633b176d8672469339"/>
                    <pic:cNvPicPr>
                      <a:picLocks noChangeAspect="1"/>
                    </pic:cNvPicPr>
                  </pic:nvPicPr>
                  <pic:blipFill>
                    <a:blip r:embed="rId38"/>
                    <a:srcRect l="900" t="1709" r="1514"/>
                    <a:stretch>
                      <a:fillRect/>
                    </a:stretch>
                  </pic:blipFill>
                  <pic:spPr>
                    <a:xfrm>
                      <a:off x="0" y="0"/>
                      <a:ext cx="3571240" cy="2985135"/>
                    </a:xfrm>
                    <a:prstGeom prst="rect">
                      <a:avLst/>
                    </a:prstGeom>
                  </pic:spPr>
                </pic:pic>
              </a:graphicData>
            </a:graphic>
          </wp:inline>
        </w:drawing>
      </w:r>
    </w:p>
    <w:p>
      <w:pPr>
        <w:spacing w:line="360" w:lineRule="auto"/>
        <w:jc w:val="center"/>
        <w:rPr>
          <w:rFonts w:ascii="宋体" w:hAnsi="宋体" w:eastAsia="宋体" w:cs="宋体"/>
          <w:sz w:val="24"/>
        </w:rPr>
      </w:pPr>
      <w:r>
        <w:rPr>
          <w:rFonts w:hint="eastAsia" w:ascii="宋体" w:hAnsi="宋体" w:eastAsia="宋体" w:cs="宋体"/>
          <w:sz w:val="24"/>
        </w:rPr>
        <w:t>图2.16 2021年班主任能力大赛获奖情况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校的朱丹年老师在2020年10月份省和国家的班主任能力大赛取得优异的成绩，共获得了2020年广东省中等职业学校班主任业务能力大赛业务能力组一等奖、2020年全国职业院校技能大赛中等职业学校班主任能力比赛业务能力组三等奖的优异成绩。</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drawing>
          <wp:inline distT="0" distB="0" distL="114300" distR="114300">
            <wp:extent cx="4396740" cy="2931160"/>
            <wp:effectExtent l="0" t="0" r="3810" b="2540"/>
            <wp:docPr id="52" name="图片 52" descr="f62685d9e79aca19b0fe7af799f9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f62685d9e79aca19b0fe7af799f91f2"/>
                    <pic:cNvPicPr>
                      <a:picLocks noChangeAspect="1"/>
                    </pic:cNvPicPr>
                  </pic:nvPicPr>
                  <pic:blipFill>
                    <a:blip r:embed="rId39"/>
                    <a:stretch>
                      <a:fillRect/>
                    </a:stretch>
                  </pic:blipFill>
                  <pic:spPr>
                    <a:xfrm>
                      <a:off x="0" y="0"/>
                      <a:ext cx="4396740" cy="2931160"/>
                    </a:xfrm>
                    <a:prstGeom prst="rect">
                      <a:avLst/>
                    </a:prstGeom>
                  </pic:spPr>
                </pic:pic>
              </a:graphicData>
            </a:graphic>
          </wp:inline>
        </w:drawing>
      </w:r>
    </w:p>
    <w:p>
      <w:pPr>
        <w:spacing w:line="360" w:lineRule="auto"/>
        <w:ind w:firstLine="360" w:firstLineChars="200"/>
        <w:jc w:val="center"/>
        <w:rPr>
          <w:rFonts w:ascii="宋体" w:hAnsi="宋体" w:eastAsia="宋体" w:cs="宋体"/>
          <w:sz w:val="18"/>
          <w:szCs w:val="18"/>
        </w:rPr>
      </w:pPr>
      <w:r>
        <w:rPr>
          <w:rFonts w:hint="eastAsia" w:ascii="宋体" w:hAnsi="宋体" w:eastAsia="宋体" w:cs="宋体"/>
          <w:sz w:val="18"/>
          <w:szCs w:val="18"/>
        </w:rPr>
        <w:t>图2.17 班主任业务能力大赛比赛现场</w:t>
      </w:r>
    </w:p>
    <w:p>
      <w:pPr>
        <w:spacing w:line="360" w:lineRule="auto"/>
        <w:ind w:firstLine="480" w:firstLineChars="200"/>
        <w:jc w:val="center"/>
        <w:rPr>
          <w:rFonts w:ascii="宋体" w:hAnsi="宋体" w:eastAsia="宋体" w:cs="宋体"/>
          <w:sz w:val="24"/>
        </w:rPr>
      </w:pPr>
      <w:r>
        <w:rPr>
          <w:rFonts w:ascii="宋体" w:hAnsi="宋体" w:eastAsia="宋体" w:cs="宋体"/>
          <w:sz w:val="24"/>
        </w:rPr>
        <w:drawing>
          <wp:inline distT="0" distB="0" distL="114300" distR="114300">
            <wp:extent cx="2041525" cy="2947035"/>
            <wp:effectExtent l="0" t="0" r="5715" b="15875"/>
            <wp:docPr id="50" name="图片 50" descr="8fcd76e71f1a911c69a18bf7a89b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fcd76e71f1a911c69a18bf7a89b910"/>
                    <pic:cNvPicPr>
                      <a:picLocks noChangeAspect="1"/>
                    </pic:cNvPicPr>
                  </pic:nvPicPr>
                  <pic:blipFill>
                    <a:blip r:embed="rId40"/>
                    <a:stretch>
                      <a:fillRect/>
                    </a:stretch>
                  </pic:blipFill>
                  <pic:spPr>
                    <a:xfrm rot="16200000">
                      <a:off x="0" y="0"/>
                      <a:ext cx="2041525" cy="2947035"/>
                    </a:xfrm>
                    <a:prstGeom prst="rect">
                      <a:avLst/>
                    </a:prstGeom>
                  </pic:spPr>
                </pic:pic>
              </a:graphicData>
            </a:graphic>
          </wp:inline>
        </w:drawing>
      </w:r>
    </w:p>
    <w:p>
      <w:pPr>
        <w:spacing w:line="360" w:lineRule="auto"/>
        <w:ind w:firstLine="480" w:firstLineChars="200"/>
        <w:jc w:val="center"/>
        <w:rPr>
          <w:rFonts w:ascii="宋体" w:hAnsi="宋体" w:eastAsia="宋体" w:cs="宋体"/>
          <w:sz w:val="24"/>
        </w:rPr>
      </w:pPr>
      <w:r>
        <w:rPr>
          <w:rFonts w:ascii="宋体" w:hAnsi="宋体" w:eastAsia="宋体" w:cs="宋体"/>
          <w:sz w:val="24"/>
        </w:rPr>
        <w:drawing>
          <wp:inline distT="0" distB="0" distL="114300" distR="114300">
            <wp:extent cx="1976120" cy="2965450"/>
            <wp:effectExtent l="0" t="0" r="6350" b="5080"/>
            <wp:docPr id="51" name="图片 51" descr="a1a144e6a98fa72d2d860a34f65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1a144e6a98fa72d2d860a34f651831"/>
                    <pic:cNvPicPr>
                      <a:picLocks noChangeAspect="1"/>
                    </pic:cNvPicPr>
                  </pic:nvPicPr>
                  <pic:blipFill>
                    <a:blip r:embed="rId41"/>
                    <a:stretch>
                      <a:fillRect/>
                    </a:stretch>
                  </pic:blipFill>
                  <pic:spPr>
                    <a:xfrm rot="16200000">
                      <a:off x="0" y="0"/>
                      <a:ext cx="1976120" cy="2965450"/>
                    </a:xfrm>
                    <a:prstGeom prst="rect">
                      <a:avLst/>
                    </a:prstGeom>
                  </pic:spPr>
                </pic:pic>
              </a:graphicData>
            </a:graphic>
          </wp:inline>
        </w:drawing>
      </w:r>
    </w:p>
    <w:p>
      <w:pPr>
        <w:spacing w:line="360" w:lineRule="auto"/>
        <w:ind w:firstLine="723"/>
        <w:jc w:val="center"/>
        <w:rPr>
          <w:rFonts w:hint="eastAsia" w:ascii="宋体" w:hAnsi="宋体" w:eastAsia="宋体" w:cs="宋体"/>
          <w:sz w:val="24"/>
        </w:rPr>
      </w:pPr>
      <w:r>
        <w:rPr>
          <w:rFonts w:hint="eastAsia" w:ascii="宋体" w:hAnsi="宋体" w:eastAsia="宋体" w:cs="宋体"/>
          <w:sz w:val="24"/>
        </w:rPr>
        <w:t>图2.18 班主任能力大赛的获奖证书</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Arial" w:hAnsi="Arial"/>
        </w:rPr>
      </w:pPr>
      <w:r>
        <w:rPr>
          <w:rFonts w:hint="eastAsia"/>
          <w:lang w:eastAsia="zh-CN"/>
        </w:rPr>
        <w:t>（</w:t>
      </w:r>
      <w:r>
        <w:rPr>
          <w:rFonts w:hint="eastAsia"/>
          <w:lang w:val="en-US" w:eastAsia="zh-CN"/>
        </w:rPr>
        <w:t>2</w:t>
      </w:r>
      <w:r>
        <w:rPr>
          <w:rFonts w:hint="eastAsia"/>
          <w:lang w:eastAsia="zh-CN"/>
        </w:rPr>
        <w:t>）</w:t>
      </w:r>
      <w:r>
        <w:rPr>
          <w:rFonts w:hint="eastAsia" w:ascii="Arial" w:hAnsi="Arial"/>
        </w:rPr>
        <w:t xml:space="preserve">学生工作取得的成果  </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拥有坚强领导的前提下，在学校学生处大力推动学生工作的基础上，也涌现了一大批优秀的班集体和优秀学生个体，在省、市以及区的“优秀三好生”“优秀学生班干部”评比中获得优异的成绩，同时学校的学生林桂心、吴晓强还获得了“潮汕星河奖”科技奖二等奖的好成绩</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在2020年学校获得区级优秀班集体2个，优秀三好学生10个，优秀学生干部4个。获得市级班集体1个，三好学生2个，优秀学生干部1个。获得省级三好学生1个。</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在2021年学校获得区级优秀班集体2个，优秀三好学生10个，优秀学生干部4个。获得市级班集体1个，三好学生2个，优秀学生干部1个。获得省级三好学生1个。 </w:t>
      </w:r>
    </w:p>
    <w:p>
      <w:pPr>
        <w:spacing w:line="360" w:lineRule="auto"/>
        <w:ind w:firstLine="480" w:firstLineChars="200"/>
        <w:rPr>
          <w:rFonts w:hint="eastAsia" w:ascii="宋体" w:hAnsi="宋体" w:eastAsia="宋体" w:cs="宋体"/>
          <w:color w:val="000000"/>
          <w:sz w:val="24"/>
        </w:rPr>
      </w:pPr>
    </w:p>
    <w:p>
      <w:pPr>
        <w:spacing w:line="360" w:lineRule="auto"/>
        <w:jc w:val="center"/>
        <w:rPr>
          <w:rFonts w:hint="eastAsia" w:ascii="宋体" w:hAnsi="宋体" w:eastAsia="宋体" w:cs="宋体"/>
          <w:sz w:val="18"/>
          <w:szCs w:val="18"/>
        </w:rPr>
      </w:pPr>
    </w:p>
    <w:p>
      <w:pPr>
        <w:spacing w:line="360" w:lineRule="auto"/>
        <w:jc w:val="center"/>
        <w:rPr>
          <w:rFonts w:hint="eastAsia" w:ascii="宋体" w:hAnsi="宋体" w:eastAsia="宋体" w:cs="宋体"/>
          <w:sz w:val="18"/>
          <w:szCs w:val="18"/>
        </w:rPr>
      </w:pPr>
    </w:p>
    <w:p>
      <w:pPr>
        <w:spacing w:line="360" w:lineRule="auto"/>
        <w:jc w:val="center"/>
        <w:rPr>
          <w:rFonts w:hint="eastAsia" w:ascii="宋体" w:hAnsi="宋体" w:eastAsia="宋体" w:cs="宋体"/>
          <w:sz w:val="18"/>
          <w:szCs w:val="18"/>
        </w:rPr>
      </w:pPr>
    </w:p>
    <w:p>
      <w:pPr>
        <w:spacing w:line="360" w:lineRule="auto"/>
        <w:jc w:val="center"/>
        <w:rPr>
          <w:rFonts w:hint="eastAsia" w:ascii="宋体" w:hAnsi="宋体" w:eastAsia="宋体" w:cs="宋体"/>
          <w:sz w:val="18"/>
          <w:szCs w:val="18"/>
        </w:rPr>
      </w:pPr>
      <w:r>
        <w:rPr>
          <w:rFonts w:hint="eastAsia" w:ascii="宋体" w:hAnsi="宋体" w:eastAsia="宋体" w:cs="宋体"/>
          <w:color w:val="000000"/>
          <w:sz w:val="24"/>
        </w:rPr>
        <w:drawing>
          <wp:anchor distT="0" distB="0" distL="114300" distR="114300" simplePos="0" relativeHeight="251668480" behindDoc="0" locked="0" layoutInCell="1" allowOverlap="1">
            <wp:simplePos x="0" y="0"/>
            <wp:positionH relativeFrom="column">
              <wp:posOffset>2448560</wp:posOffset>
            </wp:positionH>
            <wp:positionV relativeFrom="paragraph">
              <wp:posOffset>-14605</wp:posOffset>
            </wp:positionV>
            <wp:extent cx="2293620" cy="1720215"/>
            <wp:effectExtent l="0" t="0" r="11430" b="13335"/>
            <wp:wrapSquare wrapText="bothSides"/>
            <wp:docPr id="21" name="图片 21" descr="微信图片_20210914210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9142107417"/>
                    <pic:cNvPicPr>
                      <a:picLocks noChangeAspect="1"/>
                    </pic:cNvPicPr>
                  </pic:nvPicPr>
                  <pic:blipFill>
                    <a:blip r:embed="rId42"/>
                    <a:stretch>
                      <a:fillRect/>
                    </a:stretch>
                  </pic:blipFill>
                  <pic:spPr>
                    <a:xfrm>
                      <a:off x="0" y="0"/>
                      <a:ext cx="2293620" cy="1720215"/>
                    </a:xfrm>
                    <a:prstGeom prst="rect">
                      <a:avLst/>
                    </a:prstGeom>
                  </pic:spPr>
                </pic:pic>
              </a:graphicData>
            </a:graphic>
          </wp:anchor>
        </w:drawing>
      </w:r>
      <w:r>
        <w:rPr>
          <w:rFonts w:hint="eastAsia" w:ascii="宋体" w:hAnsi="宋体" w:eastAsia="宋体" w:cs="宋体"/>
          <w:color w:val="000000"/>
          <w:sz w:val="24"/>
        </w:rPr>
        <w:drawing>
          <wp:anchor distT="0" distB="0" distL="114300" distR="114300" simplePos="0" relativeHeight="251667456" behindDoc="0" locked="0" layoutInCell="1" allowOverlap="1">
            <wp:simplePos x="0" y="0"/>
            <wp:positionH relativeFrom="column">
              <wp:posOffset>71120</wp:posOffset>
            </wp:positionH>
            <wp:positionV relativeFrom="paragraph">
              <wp:posOffset>19050</wp:posOffset>
            </wp:positionV>
            <wp:extent cx="2349500" cy="1762125"/>
            <wp:effectExtent l="0" t="0" r="12700" b="9525"/>
            <wp:wrapSquare wrapText="bothSides"/>
            <wp:docPr id="31" name="图片 31" descr="微信图片_202109142107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091421074112"/>
                    <pic:cNvPicPr>
                      <a:picLocks noChangeAspect="1"/>
                    </pic:cNvPicPr>
                  </pic:nvPicPr>
                  <pic:blipFill>
                    <a:blip r:embed="rId43"/>
                    <a:stretch>
                      <a:fillRect/>
                    </a:stretch>
                  </pic:blipFill>
                  <pic:spPr>
                    <a:xfrm>
                      <a:off x="0" y="0"/>
                      <a:ext cx="2349500" cy="1762125"/>
                    </a:xfrm>
                    <a:prstGeom prst="rect">
                      <a:avLst/>
                    </a:prstGeom>
                  </pic:spPr>
                </pic:pic>
              </a:graphicData>
            </a:graphic>
          </wp:anchor>
        </w:drawing>
      </w:r>
    </w:p>
    <w:p>
      <w:pPr>
        <w:spacing w:line="360" w:lineRule="auto"/>
        <w:jc w:val="center"/>
        <w:rPr>
          <w:rFonts w:hint="eastAsia" w:ascii="宋体" w:hAnsi="宋体" w:eastAsia="宋体" w:cs="宋体"/>
          <w:sz w:val="18"/>
          <w:szCs w:val="18"/>
        </w:rPr>
      </w:pPr>
    </w:p>
    <w:p>
      <w:pPr>
        <w:spacing w:line="360" w:lineRule="auto"/>
        <w:jc w:val="center"/>
        <w:rPr>
          <w:rFonts w:hint="eastAsia" w:ascii="宋体" w:hAnsi="宋体" w:eastAsia="宋体" w:cs="宋体"/>
          <w:sz w:val="18"/>
          <w:szCs w:val="18"/>
        </w:rPr>
      </w:pPr>
    </w:p>
    <w:p>
      <w:pPr>
        <w:spacing w:line="360" w:lineRule="auto"/>
        <w:jc w:val="center"/>
        <w:rPr>
          <w:rFonts w:hint="eastAsia" w:ascii="宋体" w:hAnsi="宋体" w:eastAsia="宋体" w:cs="宋体"/>
          <w:sz w:val="18"/>
          <w:szCs w:val="18"/>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r>
        <w:rPr>
          <w:rFonts w:ascii="宋体" w:hAnsi="宋体" w:eastAsia="宋体" w:cs="宋体"/>
          <w:sz w:val="18"/>
          <w:szCs w:val="18"/>
        </w:rPr>
        <w:drawing>
          <wp:anchor distT="0" distB="0" distL="114300" distR="114300" simplePos="0" relativeHeight="251669504" behindDoc="0" locked="0" layoutInCell="1" allowOverlap="1">
            <wp:simplePos x="0" y="0"/>
            <wp:positionH relativeFrom="column">
              <wp:posOffset>-102870</wp:posOffset>
            </wp:positionH>
            <wp:positionV relativeFrom="paragraph">
              <wp:posOffset>149225</wp:posOffset>
            </wp:positionV>
            <wp:extent cx="2176780" cy="1632585"/>
            <wp:effectExtent l="0" t="0" r="0" b="5715"/>
            <wp:wrapSquare wrapText="bothSides"/>
            <wp:docPr id="30" name="图片 30" descr="微信图片_2021091421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914210741"/>
                    <pic:cNvPicPr>
                      <a:picLocks noChangeAspect="1"/>
                    </pic:cNvPicPr>
                  </pic:nvPicPr>
                  <pic:blipFill>
                    <a:blip r:embed="rId44"/>
                    <a:stretch>
                      <a:fillRect/>
                    </a:stretch>
                  </pic:blipFill>
                  <pic:spPr>
                    <a:xfrm>
                      <a:off x="0" y="0"/>
                      <a:ext cx="2176780" cy="1632585"/>
                    </a:xfrm>
                    <a:prstGeom prst="rect">
                      <a:avLst/>
                    </a:prstGeom>
                  </pic:spPr>
                </pic:pic>
              </a:graphicData>
            </a:graphic>
          </wp:anchor>
        </w:drawing>
      </w:r>
      <w:r>
        <w:rPr>
          <w:rFonts w:ascii="宋体" w:hAnsi="宋体" w:eastAsia="宋体" w:cs="宋体"/>
          <w:sz w:val="18"/>
          <w:szCs w:val="18"/>
        </w:rPr>
        <w:drawing>
          <wp:anchor distT="0" distB="0" distL="114300" distR="114300" simplePos="0" relativeHeight="251672576" behindDoc="0" locked="0" layoutInCell="1" allowOverlap="1">
            <wp:simplePos x="0" y="0"/>
            <wp:positionH relativeFrom="column">
              <wp:posOffset>2537460</wp:posOffset>
            </wp:positionH>
            <wp:positionV relativeFrom="paragraph">
              <wp:posOffset>82550</wp:posOffset>
            </wp:positionV>
            <wp:extent cx="2286000" cy="1715135"/>
            <wp:effectExtent l="0" t="0" r="0" b="12065"/>
            <wp:wrapSquare wrapText="bothSides"/>
            <wp:docPr id="19" name="图片 19" descr="微信图片_20210914210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9142107412"/>
                    <pic:cNvPicPr>
                      <a:picLocks noChangeAspect="1"/>
                    </pic:cNvPicPr>
                  </pic:nvPicPr>
                  <pic:blipFill>
                    <a:blip r:embed="rId45"/>
                    <a:stretch>
                      <a:fillRect/>
                    </a:stretch>
                  </pic:blipFill>
                  <pic:spPr>
                    <a:xfrm>
                      <a:off x="0" y="0"/>
                      <a:ext cx="2286000" cy="1715135"/>
                    </a:xfrm>
                    <a:prstGeom prst="rect">
                      <a:avLst/>
                    </a:prstGeom>
                  </pic:spPr>
                </pic:pic>
              </a:graphicData>
            </a:graphic>
          </wp:anchor>
        </w:drawing>
      </w:r>
      <w:r>
        <w:rPr>
          <w:rFonts w:hint="eastAsia" w:ascii="宋体" w:hAnsi="宋体" w:eastAsia="宋体" w:cs="宋体"/>
          <w:sz w:val="24"/>
        </w:rPr>
        <w:t>图2.17 部分优秀学生荣誉证书</w:t>
      </w:r>
    </w:p>
    <w:p>
      <w:pPr>
        <w:spacing w:line="360" w:lineRule="auto"/>
        <w:jc w:val="left"/>
        <w:rPr>
          <w:rFonts w:ascii="宋体" w:hAnsi="宋体" w:eastAsia="宋体" w:cs="宋体"/>
          <w:sz w:val="24"/>
        </w:rPr>
      </w:pPr>
      <w:r>
        <w:rPr>
          <w:rFonts w:hint="eastAsia"/>
          <w:sz w:val="28"/>
          <w:szCs w:val="28"/>
        </w:rPr>
        <w:drawing>
          <wp:anchor distT="0" distB="0" distL="114300" distR="114300" simplePos="0" relativeHeight="251682816" behindDoc="0" locked="0" layoutInCell="1" allowOverlap="1">
            <wp:simplePos x="0" y="0"/>
            <wp:positionH relativeFrom="column">
              <wp:posOffset>1251585</wp:posOffset>
            </wp:positionH>
            <wp:positionV relativeFrom="paragraph">
              <wp:posOffset>158115</wp:posOffset>
            </wp:positionV>
            <wp:extent cx="3208655" cy="3204845"/>
            <wp:effectExtent l="0" t="0" r="10795" b="14605"/>
            <wp:wrapSquare wrapText="bothSides"/>
            <wp:docPr id="35" name="图片 35" descr="1636027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36027951(1)"/>
                    <pic:cNvPicPr>
                      <a:picLocks noChangeAspect="1"/>
                    </pic:cNvPicPr>
                  </pic:nvPicPr>
                  <pic:blipFill>
                    <a:blip r:embed="rId46"/>
                    <a:stretch>
                      <a:fillRect/>
                    </a:stretch>
                  </pic:blipFill>
                  <pic:spPr>
                    <a:xfrm>
                      <a:off x="0" y="0"/>
                      <a:ext cx="3208655" cy="3204845"/>
                    </a:xfrm>
                    <a:prstGeom prst="rect">
                      <a:avLst/>
                    </a:prstGeom>
                  </pic:spPr>
                </pic:pic>
              </a:graphicData>
            </a:graphic>
          </wp:anchor>
        </w:drawing>
      </w:r>
    </w:p>
    <w:p>
      <w:pPr>
        <w:spacing w:line="360" w:lineRule="auto"/>
        <w:jc w:val="center"/>
        <w:rPr>
          <w:rFonts w:ascii="宋体" w:hAnsi="宋体" w:eastAsia="宋体" w:cs="宋体"/>
          <w:sz w:val="24"/>
        </w:rPr>
      </w:pPr>
    </w:p>
    <w:p>
      <w:pPr>
        <w:spacing w:line="360" w:lineRule="auto"/>
        <w:ind w:firstLine="723"/>
        <w:jc w:val="center"/>
        <w:rPr>
          <w:rFonts w:hint="eastAsia" w:ascii="宋体" w:hAnsi="宋体" w:eastAsia="宋体" w:cs="宋体"/>
          <w:sz w:val="24"/>
        </w:rPr>
      </w:pPr>
      <w:r>
        <w:rPr>
          <w:rFonts w:hint="eastAsia" w:ascii="宋体" w:hAnsi="宋体" w:eastAsia="宋体" w:cs="宋体"/>
          <w:sz w:val="24"/>
        </w:rPr>
        <w:t xml:space="preserve">                       </w:t>
      </w: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firstLine="723"/>
        <w:jc w:val="center"/>
        <w:rPr>
          <w:rFonts w:hint="eastAsia" w:ascii="宋体" w:hAnsi="宋体" w:eastAsia="宋体" w:cs="宋体"/>
          <w:sz w:val="24"/>
        </w:rPr>
      </w:pPr>
    </w:p>
    <w:p>
      <w:pPr>
        <w:spacing w:line="360" w:lineRule="auto"/>
        <w:ind w:left="0" w:leftChars="0" w:firstLine="0" w:firstLineChars="0"/>
        <w:jc w:val="both"/>
        <w:rPr>
          <w:rFonts w:hint="eastAsia" w:ascii="宋体" w:hAnsi="宋体" w:eastAsia="宋体" w:cs="宋体"/>
          <w:sz w:val="24"/>
        </w:rPr>
      </w:pPr>
    </w:p>
    <w:p>
      <w:pPr>
        <w:spacing w:line="360" w:lineRule="auto"/>
        <w:ind w:firstLine="723"/>
        <w:jc w:val="center"/>
        <w:rPr>
          <w:rFonts w:hint="eastAsia" w:ascii="宋体" w:hAnsi="宋体" w:eastAsia="宋体" w:cs="宋体"/>
          <w:sz w:val="24"/>
        </w:rPr>
      </w:pPr>
      <w:r>
        <w:rPr>
          <w:rFonts w:hint="eastAsia" w:ascii="宋体" w:hAnsi="宋体" w:eastAsia="宋体" w:cs="宋体"/>
          <w:sz w:val="24"/>
        </w:rPr>
        <w:t>图2.18 潮汕星河奖荣誉证书</w:t>
      </w:r>
    </w:p>
    <w:p>
      <w:pPr>
        <w:spacing w:line="360" w:lineRule="auto"/>
        <w:ind w:left="0" w:leftChars="0" w:firstLine="0" w:firstLineChars="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近几年来学校学生处也积极组织学生参加省和国家文明风采活动。在2020年广东省文明风采活动获一等奖</w:t>
      </w:r>
      <w:r>
        <w:rPr>
          <w:rFonts w:hint="eastAsia" w:ascii="宋体" w:hAnsi="宋体" w:eastAsia="宋体" w:cs="宋体"/>
          <w:color w:val="000000"/>
          <w:sz w:val="24"/>
          <w:lang w:val="en-US" w:eastAsia="zh-CN"/>
        </w:rPr>
        <w:t>1</w:t>
      </w:r>
      <w:r>
        <w:rPr>
          <w:rFonts w:hint="eastAsia" w:ascii="宋体" w:hAnsi="宋体" w:eastAsia="宋体" w:cs="宋体"/>
          <w:color w:val="000000"/>
          <w:sz w:val="24"/>
        </w:rPr>
        <w:t>个，二等奖</w:t>
      </w:r>
      <w:r>
        <w:rPr>
          <w:rFonts w:hint="eastAsia" w:ascii="宋体" w:hAnsi="宋体" w:eastAsia="宋体" w:cs="宋体"/>
          <w:color w:val="000000"/>
          <w:sz w:val="24"/>
          <w:lang w:val="en-US" w:eastAsia="zh-CN"/>
        </w:rPr>
        <w:t>9</w:t>
      </w:r>
      <w:r>
        <w:rPr>
          <w:rFonts w:hint="eastAsia" w:ascii="宋体" w:hAnsi="宋体" w:eastAsia="宋体" w:cs="宋体"/>
          <w:color w:val="000000"/>
          <w:sz w:val="24"/>
        </w:rPr>
        <w:t>个，三等奖</w:t>
      </w:r>
      <w:r>
        <w:rPr>
          <w:rFonts w:hint="eastAsia" w:ascii="宋体" w:hAnsi="宋体" w:eastAsia="宋体" w:cs="宋体"/>
          <w:color w:val="000000"/>
          <w:sz w:val="24"/>
          <w:lang w:val="en-US" w:eastAsia="zh-CN"/>
        </w:rPr>
        <w:t>23</w:t>
      </w:r>
      <w:r>
        <w:rPr>
          <w:rFonts w:hint="eastAsia" w:ascii="宋体" w:hAnsi="宋体" w:eastAsia="宋体" w:cs="宋体"/>
          <w:color w:val="000000"/>
          <w:sz w:val="24"/>
        </w:rPr>
        <w:t>个。</w:t>
      </w:r>
    </w:p>
    <w:p>
      <w:pPr>
        <w:spacing w:line="360" w:lineRule="auto"/>
        <w:ind w:firstLine="723"/>
        <w:jc w:val="center"/>
        <w:rPr>
          <w:rFonts w:hint="eastAsia" w:ascii="宋体" w:hAnsi="宋体" w:eastAsia="宋体" w:cs="宋体"/>
          <w:sz w:val="15"/>
          <w:szCs w:val="15"/>
        </w:rPr>
      </w:pPr>
      <w:r>
        <w:rPr>
          <w:rFonts w:hint="eastAsia" w:ascii="宋体" w:hAnsi="宋体" w:eastAsia="宋体" w:cs="宋体"/>
          <w:sz w:val="15"/>
          <w:szCs w:val="15"/>
          <w:lang w:eastAsia="zh-CN"/>
        </w:rPr>
        <w:drawing>
          <wp:anchor distT="0" distB="0" distL="114300" distR="114300" simplePos="0" relativeHeight="251679744" behindDoc="0" locked="0" layoutInCell="1" allowOverlap="1">
            <wp:simplePos x="0" y="0"/>
            <wp:positionH relativeFrom="column">
              <wp:posOffset>732155</wp:posOffset>
            </wp:positionH>
            <wp:positionV relativeFrom="paragraph">
              <wp:posOffset>297180</wp:posOffset>
            </wp:positionV>
            <wp:extent cx="3966845" cy="2298065"/>
            <wp:effectExtent l="0" t="0" r="14605" b="6985"/>
            <wp:wrapSquare wrapText="bothSides"/>
            <wp:docPr id="78" name="图片 78" descr="1636939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36939365(1)"/>
                    <pic:cNvPicPr>
                      <a:picLocks noChangeAspect="1"/>
                    </pic:cNvPicPr>
                  </pic:nvPicPr>
                  <pic:blipFill>
                    <a:blip r:embed="rId47"/>
                    <a:stretch>
                      <a:fillRect/>
                    </a:stretch>
                  </pic:blipFill>
                  <pic:spPr>
                    <a:xfrm>
                      <a:off x="0" y="0"/>
                      <a:ext cx="3966845" cy="2298065"/>
                    </a:xfrm>
                    <a:prstGeom prst="rect">
                      <a:avLst/>
                    </a:prstGeom>
                  </pic:spPr>
                </pic:pic>
              </a:graphicData>
            </a:graphic>
          </wp:anchor>
        </w:drawing>
      </w:r>
      <w:r>
        <w:rPr>
          <w:rFonts w:hint="eastAsia" w:ascii="宋体" w:hAnsi="宋体" w:eastAsia="宋体" w:cs="宋体"/>
          <w:sz w:val="15"/>
          <w:szCs w:val="15"/>
        </w:rPr>
        <w:t>广东省文明风采获奖情况表</w:t>
      </w:r>
    </w:p>
    <w:p>
      <w:pPr>
        <w:spacing w:line="360" w:lineRule="auto"/>
        <w:jc w:val="center"/>
        <w:rPr>
          <w:rFonts w:hint="eastAsia" w:ascii="宋体" w:hAnsi="宋体" w:eastAsia="宋体" w:cs="宋体"/>
          <w:sz w:val="24"/>
          <w:lang w:eastAsia="zh-CN"/>
        </w:rPr>
      </w:pPr>
    </w:p>
    <w:p>
      <w:pPr>
        <w:spacing w:line="360" w:lineRule="auto"/>
        <w:ind w:firstLine="480" w:firstLineChars="200"/>
        <w:rPr>
          <w:rFonts w:hint="eastAsia" w:ascii="宋体" w:hAnsi="宋体" w:eastAsia="宋体" w:cs="宋体"/>
          <w:sz w:val="24"/>
          <w:lang w:eastAsia="zh-CN"/>
        </w:rPr>
      </w:pPr>
    </w:p>
    <w:p>
      <w:pPr>
        <w:spacing w:line="360" w:lineRule="auto"/>
        <w:jc w:val="center"/>
        <w:rPr>
          <w:rFonts w:ascii="宋体" w:hAnsi="宋体" w:eastAsia="宋体" w:cs="宋体"/>
          <w:sz w:val="24"/>
        </w:rPr>
      </w:pPr>
    </w:p>
    <w:p>
      <w:pPr>
        <w:spacing w:line="360" w:lineRule="auto"/>
        <w:jc w:val="center"/>
        <w:rPr>
          <w:rFonts w:ascii="宋体" w:hAnsi="宋体" w:eastAsia="宋体" w:cs="宋体"/>
          <w:sz w:val="24"/>
        </w:rPr>
      </w:pPr>
    </w:p>
    <w:p>
      <w:pPr>
        <w:spacing w:line="360" w:lineRule="auto"/>
        <w:jc w:val="center"/>
        <w:rPr>
          <w:rFonts w:ascii="宋体" w:hAnsi="宋体" w:eastAsia="宋体" w:cs="宋体"/>
          <w:sz w:val="24"/>
        </w:rPr>
      </w:pPr>
    </w:p>
    <w:p>
      <w:pPr>
        <w:spacing w:line="360" w:lineRule="auto"/>
        <w:jc w:val="center"/>
        <w:rPr>
          <w:rFonts w:ascii="宋体" w:hAnsi="宋体" w:eastAsia="宋体" w:cs="宋体"/>
          <w:sz w:val="24"/>
        </w:rPr>
      </w:pPr>
    </w:p>
    <w:p>
      <w:pPr>
        <w:spacing w:line="360" w:lineRule="auto"/>
        <w:jc w:val="center"/>
        <w:rPr>
          <w:rFonts w:ascii="宋体" w:hAnsi="宋体" w:eastAsia="宋体" w:cs="宋体"/>
          <w:sz w:val="24"/>
        </w:rPr>
      </w:pPr>
      <w:r>
        <w:rPr>
          <w:rFonts w:ascii="宋体" w:hAnsi="宋体" w:eastAsia="宋体" w:cs="宋体"/>
          <w:sz w:val="24"/>
        </w:rPr>
        <w:drawing>
          <wp:anchor distT="0" distB="0" distL="114300" distR="114300" simplePos="0" relativeHeight="251680768" behindDoc="0" locked="0" layoutInCell="1" allowOverlap="1">
            <wp:simplePos x="0" y="0"/>
            <wp:positionH relativeFrom="column">
              <wp:posOffset>722630</wp:posOffset>
            </wp:positionH>
            <wp:positionV relativeFrom="paragraph">
              <wp:posOffset>236220</wp:posOffset>
            </wp:positionV>
            <wp:extent cx="3969385" cy="3718560"/>
            <wp:effectExtent l="0" t="0" r="12065" b="15240"/>
            <wp:wrapSquare wrapText="bothSides"/>
            <wp:docPr id="79" name="图片 79" descr="1636939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36939605(1)"/>
                    <pic:cNvPicPr>
                      <a:picLocks noChangeAspect="1"/>
                    </pic:cNvPicPr>
                  </pic:nvPicPr>
                  <pic:blipFill>
                    <a:blip r:embed="rId48"/>
                    <a:stretch>
                      <a:fillRect/>
                    </a:stretch>
                  </pic:blipFill>
                  <pic:spPr>
                    <a:xfrm>
                      <a:off x="0" y="0"/>
                      <a:ext cx="3969385" cy="3718560"/>
                    </a:xfrm>
                    <a:prstGeom prst="rect">
                      <a:avLst/>
                    </a:prstGeom>
                  </pic:spPr>
                </pic:pic>
              </a:graphicData>
            </a:graphic>
          </wp:anchor>
        </w:drawing>
      </w: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r>
        <w:rPr>
          <w:rFonts w:ascii="宋体" w:hAnsi="宋体" w:eastAsia="宋体" w:cs="宋体"/>
          <w:sz w:val="24"/>
        </w:rPr>
        <w:drawing>
          <wp:anchor distT="0" distB="0" distL="114300" distR="114300" simplePos="0" relativeHeight="251681792" behindDoc="0" locked="0" layoutInCell="1" allowOverlap="1">
            <wp:simplePos x="0" y="0"/>
            <wp:positionH relativeFrom="column">
              <wp:posOffset>1071880</wp:posOffset>
            </wp:positionH>
            <wp:positionV relativeFrom="paragraph">
              <wp:posOffset>497205</wp:posOffset>
            </wp:positionV>
            <wp:extent cx="3460115" cy="1947545"/>
            <wp:effectExtent l="0" t="0" r="6985" b="14605"/>
            <wp:wrapSquare wrapText="bothSides"/>
            <wp:docPr id="23" name="图片 23" descr="文明风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文明风采 (1)"/>
                    <pic:cNvPicPr>
                      <a:picLocks noChangeAspect="1"/>
                    </pic:cNvPicPr>
                  </pic:nvPicPr>
                  <pic:blipFill>
                    <a:blip r:embed="rId49"/>
                    <a:stretch>
                      <a:fillRect/>
                    </a:stretch>
                  </pic:blipFill>
                  <pic:spPr>
                    <a:xfrm>
                      <a:off x="0" y="0"/>
                      <a:ext cx="3460115" cy="1947545"/>
                    </a:xfrm>
                    <a:prstGeom prst="rect">
                      <a:avLst/>
                    </a:prstGeom>
                  </pic:spPr>
                </pic:pic>
              </a:graphicData>
            </a:graphic>
          </wp:anchor>
        </w:drawing>
      </w:r>
    </w:p>
    <w:p>
      <w:pPr>
        <w:spacing w:line="360" w:lineRule="auto"/>
        <w:jc w:val="center"/>
        <w:rPr>
          <w:rFonts w:ascii="宋体" w:hAnsi="宋体" w:eastAsia="宋体" w:cs="宋体"/>
          <w:sz w:val="24"/>
        </w:rPr>
      </w:pPr>
      <w:r>
        <w:rPr>
          <w:rFonts w:hint="eastAsia" w:ascii="宋体" w:hAnsi="宋体" w:eastAsia="宋体" w:cs="宋体"/>
          <w:sz w:val="24"/>
        </w:rPr>
        <w:drawing>
          <wp:inline distT="0" distB="0" distL="114300" distR="114300">
            <wp:extent cx="4537710" cy="2782570"/>
            <wp:effectExtent l="0" t="0" r="15240" b="17780"/>
            <wp:docPr id="24" name="图片 24" descr="1622687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22687872(1)"/>
                    <pic:cNvPicPr>
                      <a:picLocks noChangeAspect="1"/>
                    </pic:cNvPicPr>
                  </pic:nvPicPr>
                  <pic:blipFill>
                    <a:blip r:embed="rId50"/>
                    <a:stretch>
                      <a:fillRect/>
                    </a:stretch>
                  </pic:blipFill>
                  <pic:spPr>
                    <a:xfrm>
                      <a:off x="0" y="0"/>
                      <a:ext cx="4537710" cy="2782570"/>
                    </a:xfrm>
                    <a:prstGeom prst="rect">
                      <a:avLst/>
                    </a:prstGeom>
                  </pic:spPr>
                </pic:pic>
              </a:graphicData>
            </a:graphic>
          </wp:inline>
        </w:drawing>
      </w:r>
    </w:p>
    <w:p>
      <w:pPr>
        <w:spacing w:line="360" w:lineRule="auto"/>
        <w:ind w:firstLine="723"/>
        <w:jc w:val="center"/>
        <w:rPr>
          <w:rFonts w:hint="eastAsia" w:ascii="宋体" w:hAnsi="宋体" w:eastAsia="宋体" w:cs="宋体"/>
          <w:sz w:val="24"/>
        </w:rPr>
      </w:pPr>
      <w:r>
        <w:rPr>
          <w:rFonts w:hint="eastAsia" w:ascii="宋体" w:hAnsi="宋体" w:eastAsia="宋体" w:cs="宋体"/>
          <w:sz w:val="24"/>
        </w:rPr>
        <w:t>图2.19 文明风采部分作品图片</w:t>
      </w:r>
    </w:p>
    <w:p>
      <w:pPr>
        <w:pStyle w:val="3"/>
        <w:numPr>
          <w:ilvl w:val="0"/>
          <w:numId w:val="7"/>
        </w:numPr>
        <w:bidi w:val="0"/>
        <w:ind w:left="60" w:leftChars="0" w:firstLine="420" w:firstLineChars="0"/>
        <w:rPr>
          <w:rFonts w:hint="eastAsia"/>
          <w:b/>
          <w:lang w:val="en-US" w:eastAsia="zh-CN"/>
        </w:rPr>
      </w:pPr>
      <w:bookmarkStart w:id="13" w:name="_Toc25233"/>
      <w:r>
        <w:rPr>
          <w:rFonts w:hint="eastAsia"/>
          <w:b/>
          <w:lang w:val="en-US" w:eastAsia="zh-CN"/>
        </w:rPr>
        <w:t>学生专业素养工作</w:t>
      </w:r>
      <w:bookmarkEnd w:id="13"/>
    </w:p>
    <w:p>
      <w:pPr>
        <w:pStyle w:val="4"/>
        <w:numPr>
          <w:ilvl w:val="0"/>
          <w:numId w:val="9"/>
        </w:numPr>
        <w:bidi w:val="0"/>
        <w:ind w:left="480" w:leftChars="200" w:firstLine="0" w:firstLineChars="0"/>
        <w:rPr>
          <w:rFonts w:hint="eastAsia"/>
          <w:lang w:val="en-US" w:eastAsia="zh-CN"/>
        </w:rPr>
      </w:pPr>
      <w:r>
        <w:rPr>
          <w:rFonts w:hint="eastAsia"/>
          <w:lang w:val="en-US" w:eastAsia="zh-CN"/>
        </w:rPr>
        <w:t>专业教学情况</w:t>
      </w:r>
    </w:p>
    <w:p>
      <w:pPr>
        <w:pStyle w:val="5"/>
        <w:keepNext w:val="0"/>
        <w:keepLines w:val="0"/>
        <w:pageBreakBefore w:val="0"/>
        <w:widowControl w:val="0"/>
        <w:numPr>
          <w:ilvl w:val="0"/>
          <w:numId w:val="0"/>
        </w:numPr>
        <w:kinsoku/>
        <w:wordWrap/>
        <w:overflowPunct/>
        <w:topLinePunct w:val="0"/>
        <w:autoSpaceDE/>
        <w:autoSpaceDN/>
        <w:bidi w:val="0"/>
        <w:adjustRightInd/>
        <w:snapToGrid/>
        <w:ind w:left="480" w:leftChars="200" w:firstLine="0" w:firstLineChars="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加强教学常规管理  提高教育教学质量</w:t>
      </w:r>
    </w:p>
    <w:p>
      <w:pPr>
        <w:pStyle w:val="6"/>
        <w:numPr>
          <w:ilvl w:val="0"/>
          <w:numId w:val="10"/>
        </w:numPr>
        <w:bidi w:val="0"/>
        <w:rPr>
          <w:rFonts w:hint="eastAsia"/>
        </w:rPr>
      </w:pPr>
      <w:r>
        <w:rPr>
          <w:rFonts w:hint="eastAsia"/>
        </w:rPr>
        <w:t>切实抓好课堂教学的常规管理工作，强化校部二级管理</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一方面，通过各部教学管理人员加强对课堂教学的巡查，大力抓好教风、学风的建设，创造良好的学习氛围。另一方面，教务科协同各部门加强对课堂教学的巡查，重点是检查学生课堂睡觉和玩手机的情况，教师上课及管理的情况，及时做好反馈工作，并按要求把巡查情况记录在课堂巡查记录簿上；定期对教师的课堂教学情况进行检查和教学质量测评。分别在第9-10周和期末开展全校性的教学常规工作大检查，对教师的出勤、教学进度、教案编写、作业的布置和批改情况、听评课、举行公开课（讲座）、参加科组教研活动的情况和教学质量进行了全面的检查和分析，找出存在问题，及时整改，树立典型、表彰先进，形成了良好的教风、学风，教学质量得到进一步提高。并根据《揭阳捷和职业技术学校教师教学工作评价体系（试行）》的要求，对全体教师的教学常规工作、课堂教学工作、教研工作、综合评价和奖扣分情况作出总的评价，总评价分数填入教师工作卡。</w:t>
      </w:r>
    </w:p>
    <w:p>
      <w:pPr>
        <w:pStyle w:val="6"/>
        <w:numPr>
          <w:ilvl w:val="0"/>
          <w:numId w:val="10"/>
        </w:numPr>
        <w:bidi w:val="0"/>
        <w:ind w:firstLine="723"/>
        <w:rPr>
          <w:rFonts w:hint="eastAsia"/>
        </w:rPr>
      </w:pPr>
      <w:r>
        <w:rPr>
          <w:rFonts w:hint="eastAsia"/>
        </w:rPr>
        <w:t>深化课堂变革，提高课堂教学有效性</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强化校部二级管理和职责，创新课堂教学管理模式，提高课堂教学管理效果。专业部加强课堂教学的日常巡视、管理、总结、反思，发现问题及时整改。加强教师的理论教学和实践教学工作，重视培养学生学习习惯的养成教育，让学生做到“六有”，即有预习、有笔记、有作业、有兴趣、有收获、有信心。注重理论联系实际，加强教学内容与社会需要、技术进步的研究，切实加强实践实训教学环节，采取科学、可行的教学方法和手段，真正让学生在“做中学、学中做”，调动学生学习兴趣，快乐学习，提高课堂教学有效性。</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落实“揭阳市榕城区教育局关于印发《落实榕城区教·科·研三大质量提升项目，推动教育教研融合创新实施方案》的通知”（揭榕教[2019]76号）精神，进一步深化学校课堂变革，力求在实施“让教学更有效”的“教学改进”中，构建“学为中心”课堂、教与学常规优化、作业优化、学习评价优化等方面有新突破，全面提高教育教学质量。</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Arial" w:hAnsi="Arial"/>
        </w:rPr>
      </w:pPr>
      <w:r>
        <w:rPr>
          <w:rFonts w:hint="eastAsia"/>
          <w:lang w:eastAsia="zh-CN"/>
        </w:rPr>
        <w:t>（</w:t>
      </w:r>
      <w:r>
        <w:rPr>
          <w:rFonts w:hint="eastAsia"/>
          <w:lang w:val="en-US" w:eastAsia="zh-CN"/>
        </w:rPr>
        <w:t>2</w:t>
      </w:r>
      <w:r>
        <w:rPr>
          <w:rFonts w:hint="eastAsia"/>
          <w:lang w:eastAsia="zh-CN"/>
        </w:rPr>
        <w:t>）</w:t>
      </w:r>
      <w:r>
        <w:rPr>
          <w:rFonts w:hint="eastAsia" w:ascii="Arial" w:hAnsi="Arial"/>
        </w:rPr>
        <w:t>开展多项教育活动，创建平安和谐校园，引领学生健康成长</w:t>
      </w:r>
    </w:p>
    <w:p>
      <w:pPr>
        <w:pStyle w:val="6"/>
        <w:numPr>
          <w:ilvl w:val="0"/>
          <w:numId w:val="0"/>
        </w:numPr>
        <w:bidi w:val="0"/>
        <w:ind w:firstLine="480" w:firstLineChars="200"/>
        <w:rPr>
          <w:rFonts w:hint="eastAsia"/>
        </w:rPr>
      </w:pPr>
      <w:r>
        <w:rPr>
          <w:rFonts w:hint="eastAsia"/>
        </w:rPr>
        <w:t>按照《中小学生公共安全教育指导纲要》要求，贯彻落实《学校安全工作规章制度》，加强教学安全管理</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保证学校安全教育工作顺利开展，教务科按照《中小学生公共安全教育指导纲要》要求，贯彻落实《学校安全工作规章制度》，并与学生科共同采取有效措施，把安全教育纳入教学计划，时间、用书、师资落实到位，并渗透到教学活动中。要求全体教师注重课堂安全，明确任课教师对任课班级课堂安全负直接责任，在向课堂要质量要效益、提升教学质量的同时，必须严格执行候课、考勤登记、上下午放学前安全提醒等制度，要求体育课、实训课上、下课前都要集合检查人数，对迟到、旷课、中途离校的学生要通过班主任第一时间通知家长。</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坚持以人为本，时刻把师生的生命安全和身体健康放在首位。学校教学工作坚持守住安全底线，扎实做好疫情防控工作，</w:t>
      </w:r>
      <w:bookmarkStart w:id="14" w:name="qihoosnap5"/>
      <w:bookmarkEnd w:id="14"/>
      <w:r>
        <w:rPr>
          <w:rFonts w:hint="eastAsia" w:ascii="宋体" w:hAnsi="宋体" w:eastAsia="宋体" w:cs="宋体"/>
          <w:color w:val="000000"/>
          <w:sz w:val="24"/>
        </w:rPr>
        <w:t>切实保障师生健康，维护正常的教育教学秩序。</w:t>
      </w:r>
    </w:p>
    <w:p>
      <w:pPr>
        <w:pStyle w:val="6"/>
        <w:numPr>
          <w:ilvl w:val="0"/>
          <w:numId w:val="0"/>
        </w:numPr>
        <w:bidi w:val="0"/>
        <w:ind w:firstLine="480" w:firstLineChars="200"/>
        <w:rPr>
          <w:rFonts w:hint="eastAsia"/>
        </w:rPr>
      </w:pPr>
      <w:r>
        <w:rPr>
          <w:rFonts w:hint="eastAsia"/>
        </w:rPr>
        <w:t>进一步加强在学科教学中渗透社会主义核心价值观教育，认真贯彻执行《榕城区中小学思想政治理论课建设实施方案》</w:t>
      </w:r>
    </w:p>
    <w:p>
      <w:pPr>
        <w:pStyle w:val="7"/>
        <w:bidi w:val="0"/>
        <w:rPr>
          <w:rFonts w:hint="eastAsia"/>
        </w:rPr>
      </w:pPr>
      <w:r>
        <w:rPr>
          <w:rFonts w:hint="eastAsia"/>
        </w:rPr>
        <w:t>坚持社会主义核心价值观引领课堂教学，深入推进社会主义核心价值观进教材、进课堂、进学生头脑教育实践活动，把核心价值观的内涵有机渗透到学科课程教学中。课堂教学是社会主义核心价值观教育的主渠道，各专业、学科能把各课程蕴涵的社会主义核心价值观教育资源充分开发出来，把各门课程已有的社会主义核心价值观的育人功能充分发挥出来，使学生在课堂学习的过程中受到教育；专业、学科能以教学骨干为中坚力量，深入分析教材，发掘各学科教材中的社会主义核心价值观教育渗透点，开设社会主义核心价值观专题课程，确保每年级本学期不少于2课时，形成各年级、各学科的社会主义核心价值观教育指导方案，为广大教师在学科教学中渗透社会主义核心价值观提供业务指导。各专业、学科在平时听课、教学检查、课堂教学观摩等活动中能认真检查任课教师教学中情感、态度、价值观目标的落实情况。</w:t>
      </w:r>
    </w:p>
    <w:p>
      <w:pPr>
        <w:pStyle w:val="7"/>
        <w:bidi w:val="0"/>
        <w:rPr>
          <w:rFonts w:hint="eastAsia"/>
        </w:rPr>
      </w:pPr>
      <w:r>
        <w:rPr>
          <w:rFonts w:hint="eastAsia"/>
        </w:rPr>
        <w:t>学校能按要求准时将各学科在学科教学中渗透社会主义核心价值观典型教学设计及总结送榕城区教育局教研室。</w:t>
      </w:r>
    </w:p>
    <w:p>
      <w:pPr>
        <w:pStyle w:val="7"/>
        <w:bidi w:val="0"/>
        <w:rPr>
          <w:rFonts w:hint="eastAsia"/>
        </w:rPr>
      </w:pPr>
      <w:r>
        <w:rPr>
          <w:rFonts w:hint="eastAsia"/>
        </w:rPr>
        <w:t>为贯彻习近平总书记在学校思想政治理论课教师座谈会上的重要讲话精神，落实广东省学校思想政治理论课建设推进会精神，全面加强党对思想政治理论课建设的领导，根据《榕城区中小学思想政治理论课建设实施方案》相关要求，结合学校实际，制订《揭阳捷和职业技术学校思想政治理论课建设实施方案》，把学校思想政治理论课建设工作落到实处。学校通过组织教师参加省、市 “同上一堂党史课”教学展示交流活动和揭阳市“百佳红色课堂”评选活动，把学校思想政治课建设推上新台阶。</w:t>
      </w:r>
    </w:p>
    <w:p>
      <w:pPr>
        <w:pStyle w:val="6"/>
        <w:numPr>
          <w:ilvl w:val="0"/>
          <w:numId w:val="11"/>
        </w:numPr>
        <w:bidi w:val="0"/>
        <w:ind w:firstLine="723"/>
        <w:rPr>
          <w:rFonts w:hint="eastAsia"/>
        </w:rPr>
      </w:pPr>
      <w:r>
        <w:rPr>
          <w:rFonts w:hint="eastAsia"/>
        </w:rPr>
        <w:t>重视中华优秀传统文化的传承与发展</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重视教学中对中华优秀传统文化的引导学习，引导学生树立“处处有传统” 的观念，指导学生在课堂中关注传统文化，拓宽学生学习传统文化的渠道。积极开展丰富多彩的课外活动，引导学生在生活中注意观察、积累、探索，关注周围的人、事、物，开展传统文化的积累交流评比活动，养成看报、听广播、做笔记、记日记等习惯。通过树立学生传统文化学习观，不断增强他们的民族自豪感意识，从中体验到学习传统文化的乐趣，促进学生学习传统文化的热情,促进传统文化的传承与发展。学校通过组织教师参加揭阳市“百佳红色课堂”评选活动，把中华优秀传统文化传承落到实处。</w:t>
      </w:r>
    </w:p>
    <w:p>
      <w:pPr>
        <w:pStyle w:val="6"/>
        <w:numPr>
          <w:ilvl w:val="0"/>
          <w:numId w:val="11"/>
        </w:numPr>
        <w:bidi w:val="0"/>
        <w:ind w:firstLine="723"/>
        <w:rPr>
          <w:rFonts w:hint="eastAsia"/>
        </w:rPr>
      </w:pPr>
      <w:r>
        <w:rPr>
          <w:rFonts w:hint="eastAsia"/>
        </w:rPr>
        <w:t>开展绿色学校创建活动，将绿色学校创建纳入学校教学工作计划，开展生态文明教育渗透式教学</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教务科将绿色学校创建纳入教学工作计划中，要求各学科在课堂渗透生态文明教育，学期、学年考试、测试中有渗透生态文明教育的内容；学校师生能践行科学文明的绿色生活方式，自觉参与环境监督；教研组开展有关生态文明、绿色科技的教研活动；鼓励并指导学生开展有关绿色科技发明创造，包括环保小发明、小制作、科技竞赛等。</w:t>
      </w:r>
    </w:p>
    <w:p>
      <w:pPr>
        <w:pStyle w:val="6"/>
        <w:numPr>
          <w:ilvl w:val="0"/>
          <w:numId w:val="11"/>
        </w:numPr>
        <w:bidi w:val="0"/>
        <w:ind w:firstLine="723"/>
        <w:rPr>
          <w:rFonts w:hint="eastAsia"/>
        </w:rPr>
      </w:pPr>
      <w:r>
        <w:rPr>
          <w:rFonts w:hint="eastAsia"/>
        </w:rPr>
        <w:t>开展劳动养成教育和劳动知识技能教育活动</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劳动和劳动技术教育是中学教育不可缺少的重要组成部分，是全面贯彻落实教育方针，实施素质教育、提高学生总体素质的基本途径。为了开展好劳动教育活动，学校按上级要求，安排劳动教育必修课任课教师，并按要求每周开展不少于1课时劳动教育课。</w:t>
      </w:r>
    </w:p>
    <w:p>
      <w:pPr>
        <w:pStyle w:val="6"/>
        <w:numPr>
          <w:ilvl w:val="0"/>
          <w:numId w:val="11"/>
        </w:numPr>
        <w:bidi w:val="0"/>
        <w:ind w:firstLine="723"/>
        <w:rPr>
          <w:rFonts w:hint="eastAsia"/>
        </w:rPr>
      </w:pPr>
      <w:r>
        <w:rPr>
          <w:rFonts w:hint="eastAsia"/>
        </w:rPr>
        <w:t>开展美育教育，培养全面发展的新人</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美育的根本目的在于促进人的审美发展，推动每个个体的全面发展，进而达到个体自身以及个体与社会的和谐完美的发展。开展美育教育，意义重大。学校不断优化美育课程体系和教学内容，利用省、市搭建的美育教师教学展示平台，推动美育教师队伍建设与教学改革，促进美育教师的业务交流与专业成长。本学期，我校组织了美育教师参加揭阳市首届美育教师教学基本功比赛。</w:t>
      </w:r>
    </w:p>
    <w:p>
      <w:pPr>
        <w:pStyle w:val="5"/>
        <w:keepNext w:val="0"/>
        <w:keepLines w:val="0"/>
        <w:pageBreakBefore w:val="0"/>
        <w:widowControl w:val="0"/>
        <w:numPr>
          <w:ilvl w:val="0"/>
          <w:numId w:val="12"/>
        </w:numPr>
        <w:tabs>
          <w:tab w:val="left" w:pos="480"/>
          <w:tab w:val="clear" w:pos="0"/>
        </w:tabs>
        <w:kinsoku/>
        <w:wordWrap/>
        <w:overflowPunct/>
        <w:topLinePunct w:val="0"/>
        <w:autoSpaceDE/>
        <w:autoSpaceDN/>
        <w:bidi w:val="0"/>
        <w:adjustRightInd/>
        <w:snapToGrid/>
        <w:ind w:left="480" w:leftChars="200" w:firstLine="0" w:firstLineChars="0"/>
        <w:textAlignment w:val="auto"/>
        <w:rPr>
          <w:rFonts w:hint="eastAsia" w:ascii="Arial" w:hAnsi="Arial"/>
        </w:rPr>
      </w:pPr>
      <w:r>
        <w:rPr>
          <w:rFonts w:hint="eastAsia" w:ascii="Arial" w:hAnsi="Arial"/>
        </w:rPr>
        <w:t>创新专业课程，优化课程教学内容</w:t>
      </w:r>
    </w:p>
    <w:p>
      <w:pPr>
        <w:pStyle w:val="6"/>
        <w:numPr>
          <w:ilvl w:val="0"/>
          <w:numId w:val="13"/>
        </w:numPr>
        <w:bidi w:val="0"/>
        <w:ind w:firstLine="723"/>
        <w:rPr>
          <w:rFonts w:hint="eastAsia"/>
        </w:rPr>
      </w:pPr>
      <w:r>
        <w:rPr>
          <w:rFonts w:hint="eastAsia"/>
        </w:rPr>
        <w:t>加强专业和课程建设，适应技术的发展和职业岗位的需求</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加强专业和课程建设，积极组织专业教师进行社会调研，广泛听取行业专业人士和企业能工巧匠意见，提升学校开设专业的内涵，修订专业新的人才培养方案，以适应技术的发展和新职业岗位的需求，特别是围绕“互联网+教育”行动和《中国制造2025》《中国教育现代化2035》《国家职业教育改革实施方案》《教育部关于职业院校专业人才培养方案制订与实施工作的指导意见》（教职成〔2019〕13号）等要求，适应新技术、新模式、新业态发展实际，对接国家教学标准，优化专业人才培养方案，创新人才培养模式，不断提高办学水平和培养质量。</w:t>
      </w:r>
    </w:p>
    <w:p>
      <w:pPr>
        <w:pStyle w:val="6"/>
        <w:numPr>
          <w:ilvl w:val="0"/>
          <w:numId w:val="13"/>
        </w:numPr>
        <w:bidi w:val="0"/>
        <w:ind w:firstLine="723"/>
        <w:rPr>
          <w:rFonts w:hint="eastAsia"/>
        </w:rPr>
      </w:pPr>
      <w:r>
        <w:rPr>
          <w:rFonts w:hint="eastAsia"/>
        </w:rPr>
        <w:t>加强中高职衔接三二分段专业建设</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中高职联合办学模式打破了中职学生升学的“天花板”限制，充分发挥了高职院校优势品牌专业的吸引力，激发了学生报读中职学校的热情，带动中职学校的专业建设和发展，有效地促进了中职学校办学质量的提升。为了满足学生升学的现实需求和愿望，学校加大与广东农工商职业技术学院、揭阳职业技术学院和广东文艺职业学院联合办学的力度，学校以电子与信息技术、学前教育、电子商务、机电技术应用、音乐、美术设计与制作和计算机动漫与游戏制作等优势专业与高职院校进行联合办学，通过中高职衔接专业人才培养方案研讨等形式加强双方交流合作，共同商定人才培养方案和课程计划。明确中职阶段人才培养重点是基础知识和技能以及基本岗位能力，最终形成对职业的初步认知；高职阶段人才培养重点是比较系统的专业理论和职业能力。本学期，学校严格按照人才培养方案和课程计划开展教学、实训、考核，确保联合办学的良性发展。</w:t>
      </w:r>
    </w:p>
    <w:p>
      <w:pPr>
        <w:pStyle w:val="6"/>
        <w:numPr>
          <w:ilvl w:val="0"/>
          <w:numId w:val="13"/>
        </w:numPr>
        <w:bidi w:val="0"/>
        <w:ind w:firstLine="723"/>
        <w:rPr>
          <w:rFonts w:hint="eastAsia"/>
        </w:rPr>
      </w:pPr>
      <w:r>
        <w:rPr>
          <w:rFonts w:hint="eastAsia"/>
        </w:rPr>
        <w:t>紧跟时代步伐，服务区域经济，搞好专业群建设</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落实《国家职业教育改革实施方案》和《广东省职业教育“扩容、提质、强服务”三年行动计划（2019-2021年）》，聚焦重点问题和关键环节，把握基本办学指向，全面提升职业教育发展水平，增强服务经济社会发展能力，为高质量发展提供技术技能人才支撑。学校立足现有专业建设现状，谋划学校专业建设的未来与发展，深挖优势，打造特色，在传统优势专业的基础上依托区域的重点建设项目、文化特色，紧密对接产业链、创新链，打造教育艺术和信息服务两个专业群，力促学校专业内涵发展，推动学校教育教学高质量发展。专业群建设正在有条不紊地进行中。</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rPr>
        <w:drawing>
          <wp:inline distT="0" distB="0" distL="114300" distR="114300">
            <wp:extent cx="4820920" cy="3615690"/>
            <wp:effectExtent l="0" t="0" r="17780" b="3810"/>
            <wp:docPr id="54" name="图片 1" descr="专业教学情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专业教学情况1"/>
                    <pic:cNvPicPr>
                      <a:picLocks noChangeAspect="1"/>
                    </pic:cNvPicPr>
                  </pic:nvPicPr>
                  <pic:blipFill>
                    <a:blip r:embed="rId51"/>
                    <a:stretch>
                      <a:fillRect/>
                    </a:stretch>
                  </pic:blipFill>
                  <pic:spPr>
                    <a:xfrm>
                      <a:off x="0" y="0"/>
                      <a:ext cx="4820920" cy="3615690"/>
                    </a:xfrm>
                    <a:prstGeom prst="rect">
                      <a:avLst/>
                    </a:prstGeom>
                    <a:noFill/>
                    <a:ln>
                      <a:noFill/>
                    </a:ln>
                  </pic:spPr>
                </pic:pic>
              </a:graphicData>
            </a:graphic>
          </wp:inline>
        </w:drawing>
      </w:r>
    </w:p>
    <w:p>
      <w:pPr>
        <w:jc w:val="center"/>
        <w:rPr>
          <w:rFonts w:ascii="黑体" w:hAnsi="黑体" w:eastAsia="黑体"/>
          <w:b/>
          <w:sz w:val="28"/>
          <w:szCs w:val="28"/>
        </w:rPr>
      </w:pPr>
      <w:r>
        <w:rPr>
          <w:rFonts w:hint="eastAsia" w:ascii="黑体" w:hAnsi="黑体" w:eastAsia="黑体"/>
          <w:b/>
          <w:sz w:val="28"/>
          <w:szCs w:val="28"/>
        </w:rPr>
        <w:drawing>
          <wp:inline distT="0" distB="0" distL="114300" distR="114300">
            <wp:extent cx="4881245" cy="3661410"/>
            <wp:effectExtent l="0" t="0" r="14605" b="15240"/>
            <wp:docPr id="55" name="图片 2" descr="专业教学情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专业教学情况2"/>
                    <pic:cNvPicPr>
                      <a:picLocks noChangeAspect="1"/>
                    </pic:cNvPicPr>
                  </pic:nvPicPr>
                  <pic:blipFill>
                    <a:blip r:embed="rId52"/>
                    <a:stretch>
                      <a:fillRect/>
                    </a:stretch>
                  </pic:blipFill>
                  <pic:spPr>
                    <a:xfrm>
                      <a:off x="0" y="0"/>
                      <a:ext cx="4881245" cy="3661410"/>
                    </a:xfrm>
                    <a:prstGeom prst="rect">
                      <a:avLst/>
                    </a:prstGeom>
                    <a:noFill/>
                    <a:ln>
                      <a:noFill/>
                    </a:ln>
                  </pic:spPr>
                </pic:pic>
              </a:graphicData>
            </a:graphic>
          </wp:inline>
        </w:drawing>
      </w:r>
    </w:p>
    <w:p>
      <w:pPr>
        <w:jc w:val="center"/>
        <w:rPr>
          <w:rFonts w:ascii="黑体" w:hAnsi="黑体" w:eastAsia="黑体"/>
          <w:b/>
          <w:sz w:val="28"/>
          <w:szCs w:val="28"/>
        </w:rPr>
      </w:pPr>
      <w:r>
        <w:rPr>
          <w:rFonts w:hint="eastAsia" w:ascii="黑体" w:hAnsi="黑体" w:eastAsia="黑体"/>
          <w:b/>
          <w:sz w:val="28"/>
          <w:szCs w:val="28"/>
        </w:rPr>
        <w:drawing>
          <wp:inline distT="0" distB="0" distL="114300" distR="114300">
            <wp:extent cx="4618990" cy="3464560"/>
            <wp:effectExtent l="0" t="0" r="10160" b="2540"/>
            <wp:docPr id="56" name="图片 3" descr="专业教学情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descr="专业教学情况3"/>
                    <pic:cNvPicPr>
                      <a:picLocks noChangeAspect="1"/>
                    </pic:cNvPicPr>
                  </pic:nvPicPr>
                  <pic:blipFill>
                    <a:blip r:embed="rId53"/>
                    <a:stretch>
                      <a:fillRect/>
                    </a:stretch>
                  </pic:blipFill>
                  <pic:spPr>
                    <a:xfrm>
                      <a:off x="0" y="0"/>
                      <a:ext cx="4618990" cy="3464560"/>
                    </a:xfrm>
                    <a:prstGeom prst="rect">
                      <a:avLst/>
                    </a:prstGeom>
                    <a:noFill/>
                    <a:ln>
                      <a:noFill/>
                    </a:ln>
                  </pic:spPr>
                </pic:pic>
              </a:graphicData>
            </a:graphic>
          </wp:inline>
        </w:drawing>
      </w:r>
    </w:p>
    <w:p>
      <w:pPr>
        <w:jc w:val="center"/>
        <w:rPr>
          <w:rFonts w:ascii="黑体" w:hAnsi="黑体" w:eastAsia="黑体"/>
          <w:b/>
          <w:sz w:val="28"/>
          <w:szCs w:val="28"/>
        </w:rPr>
      </w:pPr>
      <w:r>
        <w:rPr>
          <w:rFonts w:hint="eastAsia" w:ascii="宋体" w:hAnsi="宋体" w:eastAsia="宋体" w:cs="宋体"/>
          <w:sz w:val="24"/>
        </w:rPr>
        <w:t>图2.20 专业课课堂活动情况</w:t>
      </w:r>
    </w:p>
    <w:p>
      <w:pPr>
        <w:jc w:val="center"/>
        <w:rPr>
          <w:rFonts w:ascii="黑体" w:hAnsi="黑体" w:eastAsia="黑体"/>
          <w:b/>
          <w:sz w:val="28"/>
          <w:szCs w:val="28"/>
        </w:rPr>
      </w:pPr>
    </w:p>
    <w:p>
      <w:pPr>
        <w:rPr>
          <w:rFonts w:ascii="黑体" w:hAnsi="黑体" w:eastAsia="黑体"/>
          <w:b/>
          <w:sz w:val="28"/>
          <w:szCs w:val="28"/>
        </w:rPr>
      </w:pPr>
      <w:r>
        <w:rPr>
          <w:rFonts w:hint="eastAsia" w:ascii="黑体" w:hAnsi="黑体" w:eastAsia="黑体"/>
          <w:b/>
          <w:sz w:val="28"/>
          <w:szCs w:val="28"/>
        </w:rPr>
        <w:drawing>
          <wp:inline distT="0" distB="0" distL="114300" distR="114300">
            <wp:extent cx="4979670" cy="3734435"/>
            <wp:effectExtent l="0" t="0" r="11430" b="18415"/>
            <wp:docPr id="57" name="图片 4" descr="专业教学情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descr="专业教学情况4"/>
                    <pic:cNvPicPr>
                      <a:picLocks noChangeAspect="1"/>
                    </pic:cNvPicPr>
                  </pic:nvPicPr>
                  <pic:blipFill>
                    <a:blip r:embed="rId54"/>
                    <a:stretch>
                      <a:fillRect/>
                    </a:stretch>
                  </pic:blipFill>
                  <pic:spPr>
                    <a:xfrm>
                      <a:off x="0" y="0"/>
                      <a:ext cx="4979670" cy="3734435"/>
                    </a:xfrm>
                    <a:prstGeom prst="rect">
                      <a:avLst/>
                    </a:prstGeom>
                    <a:noFill/>
                    <a:ln>
                      <a:noFill/>
                    </a:ln>
                  </pic:spPr>
                </pic:pic>
              </a:graphicData>
            </a:graphic>
          </wp:inline>
        </w:drawing>
      </w:r>
    </w:p>
    <w:p>
      <w:pPr>
        <w:spacing w:line="360" w:lineRule="auto"/>
        <w:jc w:val="center"/>
        <w:rPr>
          <w:rFonts w:hint="eastAsia" w:ascii="宋体" w:hAnsi="宋体" w:eastAsia="宋体" w:cs="宋体"/>
          <w:sz w:val="24"/>
        </w:rPr>
      </w:pPr>
      <w:r>
        <w:rPr>
          <w:rFonts w:hint="eastAsia" w:ascii="宋体" w:hAnsi="宋体" w:eastAsia="宋体" w:cs="宋体"/>
          <w:sz w:val="24"/>
        </w:rPr>
        <w:t>图2.21 教研组活动情况</w:t>
      </w:r>
    </w:p>
    <w:p>
      <w:pPr>
        <w:spacing w:line="360" w:lineRule="auto"/>
        <w:jc w:val="center"/>
        <w:rPr>
          <w:rFonts w:hint="eastAsia" w:ascii="宋体" w:hAnsi="宋体" w:eastAsia="宋体" w:cs="宋体"/>
          <w:sz w:val="24"/>
        </w:rPr>
      </w:pPr>
    </w:p>
    <w:p>
      <w:pPr>
        <w:spacing w:line="360" w:lineRule="auto"/>
        <w:jc w:val="center"/>
        <w:rPr>
          <w:rFonts w:hint="eastAsia" w:ascii="宋体" w:hAnsi="宋体" w:eastAsia="宋体" w:cs="宋体"/>
          <w:sz w:val="24"/>
        </w:rPr>
      </w:pP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作为中职学校，在教务处主导好专业教学工作的前提下，还不断通过公共科组小课题教研、教研会磨课、听课等方式，提高学生公共课程的学校效率。在过去的2020-2021学年度学校学生文化课合格率达到了100%，学生体质健康测试数据合格率达到了99.9%。</w:t>
      </w:r>
    </w:p>
    <w:p>
      <w:pPr>
        <w:pStyle w:val="4"/>
        <w:numPr>
          <w:ilvl w:val="0"/>
          <w:numId w:val="9"/>
        </w:numPr>
        <w:bidi w:val="0"/>
        <w:ind w:left="425" w:leftChars="0" w:firstLine="53" w:firstLineChars="19"/>
        <w:rPr>
          <w:rFonts w:hint="eastAsia"/>
          <w:lang w:val="en-US" w:eastAsia="zh-CN"/>
        </w:rPr>
      </w:pPr>
      <w:r>
        <w:rPr>
          <w:rFonts w:hint="eastAsia"/>
          <w:lang w:val="en-US" w:eastAsia="zh-CN"/>
        </w:rPr>
        <w:t>学生取证情况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目前学校主要为全国计算机等级考试、全国英语等级考试、广东省专业技能考试提供培训和考试工作。2020-2021年度与2019-2020年度的具体数据对比情况如下：</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9"/>
        <w:gridCol w:w="2278"/>
        <w:gridCol w:w="2005"/>
        <w:gridCol w:w="22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4" w:hRule="atLeast"/>
          <w:jc w:val="center"/>
        </w:trPr>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sz w:val="24"/>
              </w:rPr>
            </w:pPr>
            <w:r>
              <w:rPr>
                <w:b/>
                <w:sz w:val="24"/>
              </w:rPr>
              <w:t>项目</w:t>
            </w:r>
          </w:p>
        </w:tc>
        <w:tc>
          <w:tcPr>
            <w:tcW w:w="227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sz w:val="24"/>
              </w:rPr>
            </w:pPr>
            <w:r>
              <w:rPr>
                <w:rFonts w:hint="eastAsia"/>
                <w:b/>
                <w:sz w:val="24"/>
              </w:rPr>
              <w:t>全国计算机等级考试</w:t>
            </w:r>
          </w:p>
        </w:tc>
        <w:tc>
          <w:tcPr>
            <w:tcW w:w="200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sz w:val="24"/>
              </w:rPr>
            </w:pPr>
            <w:r>
              <w:rPr>
                <w:rFonts w:hint="eastAsia"/>
                <w:b/>
                <w:sz w:val="24"/>
              </w:rPr>
              <w:t>全国英语等级考试</w:t>
            </w:r>
          </w:p>
        </w:tc>
        <w:tc>
          <w:tcPr>
            <w:tcW w:w="2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sz w:val="24"/>
              </w:rPr>
            </w:pPr>
            <w:r>
              <w:rPr>
                <w:rFonts w:hint="eastAsia"/>
                <w:b/>
                <w:sz w:val="24"/>
              </w:rPr>
              <w:t>广东省专业技能考试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sz w:val="24"/>
              </w:rPr>
            </w:pPr>
            <w:r>
              <w:rPr>
                <w:rFonts w:hint="eastAsia"/>
                <w:sz w:val="24"/>
              </w:rPr>
              <w:t>2019~2020学年度</w:t>
            </w:r>
          </w:p>
        </w:tc>
        <w:tc>
          <w:tcPr>
            <w:tcW w:w="22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4"/>
              </w:rPr>
            </w:pPr>
            <w:r>
              <w:rPr>
                <w:rFonts w:hint="eastAsia"/>
                <w:sz w:val="24"/>
              </w:rPr>
              <w:t>382</w:t>
            </w:r>
          </w:p>
        </w:tc>
        <w:tc>
          <w:tcPr>
            <w:tcW w:w="20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4"/>
              </w:rPr>
            </w:pPr>
            <w:r>
              <w:rPr>
                <w:rFonts w:hint="eastAsia"/>
                <w:sz w:val="24"/>
              </w:rPr>
              <w:t>19</w:t>
            </w:r>
          </w:p>
        </w:tc>
        <w:tc>
          <w:tcPr>
            <w:tcW w:w="2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z w:val="24"/>
              </w:rPr>
            </w:pPr>
            <w:r>
              <w:rPr>
                <w:rFonts w:hint="eastAsia"/>
                <w:sz w:val="24"/>
              </w:rPr>
              <w:t>476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63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eastAsia="宋体"/>
                <w:sz w:val="24"/>
              </w:rPr>
            </w:pPr>
            <w:r>
              <w:rPr>
                <w:rFonts w:hint="eastAsia"/>
                <w:sz w:val="24"/>
              </w:rPr>
              <w:t>2020~2021学年度</w:t>
            </w:r>
          </w:p>
        </w:tc>
        <w:tc>
          <w:tcPr>
            <w:tcW w:w="22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sz w:val="24"/>
              </w:rPr>
            </w:pPr>
            <w:r>
              <w:rPr>
                <w:rFonts w:hint="eastAsia"/>
                <w:sz w:val="24"/>
              </w:rPr>
              <w:t>347</w:t>
            </w:r>
          </w:p>
        </w:tc>
        <w:tc>
          <w:tcPr>
            <w:tcW w:w="200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sz w:val="24"/>
              </w:rPr>
            </w:pPr>
            <w:r>
              <w:rPr>
                <w:rFonts w:hint="eastAsia"/>
                <w:sz w:val="24"/>
              </w:rPr>
              <w:t>21</w:t>
            </w:r>
          </w:p>
        </w:tc>
        <w:tc>
          <w:tcPr>
            <w:tcW w:w="22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sz w:val="24"/>
              </w:rPr>
            </w:pPr>
            <w:r>
              <w:rPr>
                <w:rFonts w:hint="eastAsia"/>
                <w:sz w:val="24"/>
              </w:rPr>
              <w:t>473</w:t>
            </w:r>
          </w:p>
        </w:tc>
      </w:tr>
    </w:tbl>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其中，2020~2021学年度全国计算机等级考试本校培训人员738人，2019~2020学年度全国计算机等级考试本校培训人员701人，因计算机考证版本更改及疫情原因，计算机考试难度增大，学生计算机考证通过率比2020年度有所降低。2020~2021学年度广东省专业技能考试本校培训人员570人，2019~2020学年度广东省专业技能考试本校培训人员496人。有效推进区域联动、多向拓展、资源共享的人才培养格局的形成，更好的服务区域经济发展，为区域的人才发展添砖加瓦。</w:t>
      </w:r>
    </w:p>
    <w:p>
      <w:pPr>
        <w:pStyle w:val="4"/>
        <w:numPr>
          <w:ilvl w:val="0"/>
          <w:numId w:val="9"/>
        </w:numPr>
        <w:bidi w:val="0"/>
        <w:ind w:left="425" w:leftChars="0" w:firstLine="53" w:firstLineChars="19"/>
        <w:rPr>
          <w:rFonts w:hint="eastAsia"/>
          <w:lang w:val="en-US" w:eastAsia="zh-CN"/>
        </w:rPr>
      </w:pPr>
      <w:r>
        <w:rPr>
          <w:rFonts w:hint="eastAsia"/>
          <w:lang w:val="en-US" w:eastAsia="zh-CN"/>
        </w:rPr>
        <w:t>学校技能艺术节的开展情况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一年一度的技能艺术节是学校对专业教学成果一次检验阅兵的仪式，在每一年为期一个月的技能艺术节活动过程中，学校通过举办各个专业的技能竞赛，来对过去一年的专业教学效果进行一次检测，然后在闭幕式的当天开始为期一周的学生技能成果展。</w:t>
      </w:r>
    </w:p>
    <w:p>
      <w:pPr>
        <w:jc w:val="center"/>
        <w:rPr>
          <w:sz w:val="28"/>
          <w:szCs w:val="28"/>
        </w:rPr>
      </w:pPr>
      <w:r>
        <w:rPr>
          <w:rFonts w:hint="eastAsia" w:ascii="Times New Roman" w:hAnsi="Times New Roman" w:eastAsia="宋体" w:cs="Times New Roman"/>
          <w:sz w:val="28"/>
          <w:szCs w:val="28"/>
        </w:rPr>
        <w:drawing>
          <wp:inline distT="0" distB="0" distL="114300" distR="114300">
            <wp:extent cx="5270500" cy="3067685"/>
            <wp:effectExtent l="0" t="0" r="6350" b="18415"/>
            <wp:docPr id="60" name="图片 5" descr="艺术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艺术节1"/>
                    <pic:cNvPicPr>
                      <a:picLocks noChangeAspect="1"/>
                    </pic:cNvPicPr>
                  </pic:nvPicPr>
                  <pic:blipFill>
                    <a:blip r:embed="rId55"/>
                    <a:stretch>
                      <a:fillRect/>
                    </a:stretch>
                  </pic:blipFill>
                  <pic:spPr>
                    <a:xfrm>
                      <a:off x="0" y="0"/>
                      <a:ext cx="5270500" cy="3067685"/>
                    </a:xfrm>
                    <a:prstGeom prst="rect">
                      <a:avLst/>
                    </a:prstGeom>
                    <a:noFill/>
                    <a:ln>
                      <a:noFill/>
                    </a:ln>
                  </pic:spPr>
                </pic:pic>
              </a:graphicData>
            </a:graphic>
          </wp:inline>
        </w:drawing>
      </w:r>
    </w:p>
    <w:p>
      <w:pPr>
        <w:spacing w:line="360" w:lineRule="auto"/>
        <w:jc w:val="center"/>
        <w:rPr>
          <w:rFonts w:ascii="宋体" w:hAnsi="宋体" w:eastAsia="宋体" w:cs="宋体"/>
          <w:sz w:val="24"/>
        </w:rPr>
      </w:pPr>
      <w:r>
        <w:rPr>
          <w:rFonts w:hint="eastAsia" w:ascii="Times New Roman" w:hAnsi="Times New Roman" w:eastAsia="宋体" w:cs="Times New Roman"/>
          <w:sz w:val="28"/>
          <w:szCs w:val="28"/>
        </w:rPr>
        <w:drawing>
          <wp:inline distT="0" distB="0" distL="114300" distR="114300">
            <wp:extent cx="5270500" cy="3515360"/>
            <wp:effectExtent l="0" t="0" r="6350" b="8890"/>
            <wp:docPr id="61" name="图片 6" descr="艺术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艺术节2"/>
                    <pic:cNvPicPr>
                      <a:picLocks noChangeAspect="1"/>
                    </pic:cNvPicPr>
                  </pic:nvPicPr>
                  <pic:blipFill>
                    <a:blip r:embed="rId56"/>
                    <a:stretch>
                      <a:fillRect/>
                    </a:stretch>
                  </pic:blipFill>
                  <pic:spPr>
                    <a:xfrm>
                      <a:off x="0" y="0"/>
                      <a:ext cx="5270500" cy="3515360"/>
                    </a:xfrm>
                    <a:prstGeom prst="rect">
                      <a:avLst/>
                    </a:prstGeom>
                    <a:noFill/>
                    <a:ln>
                      <a:noFill/>
                    </a:ln>
                  </pic:spPr>
                </pic:pic>
              </a:graphicData>
            </a:graphic>
          </wp:inline>
        </w:drawing>
      </w:r>
      <w:r>
        <w:rPr>
          <w:rFonts w:hint="eastAsia" w:ascii="宋体" w:hAnsi="宋体" w:eastAsia="宋体" w:cs="宋体"/>
          <w:sz w:val="24"/>
        </w:rPr>
        <w:t>图2.22 技能艺术节开幕式</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2020至2021学年度技能艺术节在2021年5月12日开幕，在开幕式上学校校长方惠元宣布了本年度技能艺术节开幕，在大会上还宣布了本次技能艺术节的比赛项目。在本年度的技能艺术节期间，共有80多个专业比赛项目，通过为期一个月的技能共产生400多奖项。在闭幕式当天学校还邀请了揭阳市美术家协会的艺术家们举办书画笔会，与学校师生交流艺术创作的心得和经验。最后2020至2021学年度技能艺术节在一场别开生面的闭幕晚会中落下了帷幕。</w:t>
      </w:r>
    </w:p>
    <w:p>
      <w:pPr>
        <w:jc w:val="center"/>
        <w:rPr>
          <w:sz w:val="28"/>
          <w:szCs w:val="28"/>
        </w:rPr>
      </w:pPr>
      <w:r>
        <w:rPr>
          <w:rFonts w:hint="eastAsia"/>
          <w:sz w:val="28"/>
          <w:szCs w:val="28"/>
        </w:rPr>
        <w:drawing>
          <wp:inline distT="0" distB="0" distL="114300" distR="114300">
            <wp:extent cx="4462780" cy="2972435"/>
            <wp:effectExtent l="0" t="0" r="13970" b="18415"/>
            <wp:docPr id="59" name="图片 59" descr="1e9fe6363245007b3c645d8fa2e5e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e9fe6363245007b3c645d8fa2e5eb49"/>
                    <pic:cNvPicPr>
                      <a:picLocks noChangeAspect="1"/>
                    </pic:cNvPicPr>
                  </pic:nvPicPr>
                  <pic:blipFill>
                    <a:blip r:embed="rId57"/>
                    <a:stretch>
                      <a:fillRect/>
                    </a:stretch>
                  </pic:blipFill>
                  <pic:spPr>
                    <a:xfrm>
                      <a:off x="0" y="0"/>
                      <a:ext cx="4462780" cy="2972435"/>
                    </a:xfrm>
                    <a:prstGeom prst="rect">
                      <a:avLst/>
                    </a:prstGeom>
                  </pic:spPr>
                </pic:pic>
              </a:graphicData>
            </a:graphic>
          </wp:inline>
        </w:drawing>
      </w:r>
    </w:p>
    <w:p>
      <w:pPr>
        <w:rPr>
          <w:sz w:val="28"/>
          <w:szCs w:val="28"/>
        </w:rPr>
      </w:pPr>
      <w:r>
        <w:rPr>
          <w:rFonts w:hint="eastAsia" w:ascii="Times New Roman" w:hAnsi="Times New Roman" w:eastAsia="宋体" w:cs="Times New Roman"/>
          <w:sz w:val="28"/>
          <w:szCs w:val="28"/>
        </w:rPr>
        <w:drawing>
          <wp:inline distT="0" distB="0" distL="114300" distR="114300">
            <wp:extent cx="5325110" cy="2446655"/>
            <wp:effectExtent l="0" t="0" r="8890" b="10795"/>
            <wp:docPr id="62" name="图片 7" descr="艺术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descr="艺术节3"/>
                    <pic:cNvPicPr>
                      <a:picLocks noChangeAspect="1"/>
                    </pic:cNvPicPr>
                  </pic:nvPicPr>
                  <pic:blipFill>
                    <a:blip r:embed="rId58"/>
                    <a:stretch>
                      <a:fillRect/>
                    </a:stretch>
                  </pic:blipFill>
                  <pic:spPr>
                    <a:xfrm>
                      <a:off x="0" y="0"/>
                      <a:ext cx="5325110" cy="2446655"/>
                    </a:xfrm>
                    <a:prstGeom prst="rect">
                      <a:avLst/>
                    </a:prstGeom>
                    <a:noFill/>
                    <a:ln>
                      <a:noFill/>
                    </a:ln>
                  </pic:spPr>
                </pic:pic>
              </a:graphicData>
            </a:graphic>
          </wp:inline>
        </w:drawing>
      </w:r>
    </w:p>
    <w:p>
      <w:pPr>
        <w:ind w:firstLine="480" w:firstLineChars="200"/>
        <w:jc w:val="center"/>
        <w:rPr>
          <w:sz w:val="28"/>
          <w:szCs w:val="28"/>
        </w:rPr>
      </w:pPr>
      <w:r>
        <w:rPr>
          <w:rFonts w:hint="eastAsia" w:ascii="宋体" w:hAnsi="宋体" w:eastAsia="宋体" w:cs="宋体"/>
          <w:sz w:val="24"/>
        </w:rPr>
        <w:t>图2.23 技能艺术节闭幕式</w:t>
      </w:r>
    </w:p>
    <w:p>
      <w:pPr>
        <w:pStyle w:val="4"/>
        <w:numPr>
          <w:ilvl w:val="0"/>
          <w:numId w:val="9"/>
        </w:numPr>
        <w:bidi w:val="0"/>
        <w:ind w:left="425" w:leftChars="0" w:firstLine="53" w:firstLineChars="19"/>
        <w:rPr>
          <w:rFonts w:hint="eastAsia"/>
          <w:lang w:val="en-US" w:eastAsia="zh-CN"/>
        </w:rPr>
      </w:pPr>
      <w:r>
        <w:rPr>
          <w:rFonts w:hint="eastAsia"/>
          <w:lang w:val="en-US" w:eastAsia="zh-CN"/>
        </w:rPr>
        <w:t>专业教学成果</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240" w:firstLineChars="100"/>
        <w:textAlignment w:val="auto"/>
      </w:pPr>
      <w:r>
        <w:rPr>
          <w:rFonts w:hint="eastAsia"/>
          <w:lang w:eastAsia="zh-CN"/>
        </w:rPr>
        <w:t>（</w:t>
      </w:r>
      <w:r>
        <w:rPr>
          <w:rFonts w:hint="eastAsia"/>
          <w:lang w:val="en-US" w:eastAsia="zh-CN"/>
        </w:rPr>
        <w:t>1</w:t>
      </w:r>
      <w:r>
        <w:rPr>
          <w:rFonts w:hint="eastAsia"/>
          <w:lang w:eastAsia="zh-CN"/>
        </w:rPr>
        <w:t>）</w:t>
      </w:r>
      <w:r>
        <w:rPr>
          <w:rFonts w:hint="eastAsia"/>
        </w:rPr>
        <w:t>学生在各级比赛中获奖情况</w:t>
      </w:r>
    </w:p>
    <w:p>
      <w:pPr>
        <w:pStyle w:val="6"/>
        <w:numPr>
          <w:ilvl w:val="0"/>
          <w:numId w:val="14"/>
        </w:numPr>
        <w:bidi w:val="0"/>
        <w:rPr>
          <w:rFonts w:hint="eastAsia"/>
        </w:rPr>
      </w:pPr>
      <w:r>
        <w:rPr>
          <w:rFonts w:hint="eastAsia"/>
        </w:rPr>
        <w:t>2019-2020年度广东省职业院校学生专业技能大赛（中职组）我校获奖名单</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bl>
      <w:tblPr>
        <w:tblStyle w:val="16"/>
        <w:tblW w:w="9322" w:type="dxa"/>
        <w:tblInd w:w="-34" w:type="dxa"/>
        <w:tblLayout w:type="fixed"/>
        <w:tblCellMar>
          <w:top w:w="0" w:type="dxa"/>
          <w:left w:w="108" w:type="dxa"/>
          <w:bottom w:w="0" w:type="dxa"/>
          <w:right w:w="108" w:type="dxa"/>
        </w:tblCellMar>
      </w:tblPr>
      <w:tblGrid>
        <w:gridCol w:w="9322"/>
      </w:tblGrid>
      <w:tr>
        <w:tblPrEx>
          <w:tblCellMar>
            <w:top w:w="0" w:type="dxa"/>
            <w:left w:w="108" w:type="dxa"/>
            <w:bottom w:w="0" w:type="dxa"/>
            <w:right w:w="108" w:type="dxa"/>
          </w:tblCellMar>
        </w:tblPrEx>
        <w:trPr>
          <w:trHeight w:val="540" w:hRule="atLeast"/>
        </w:trPr>
        <w:tc>
          <w:tcPr>
            <w:tcW w:w="9322" w:type="dxa"/>
            <w:tcBorders>
              <w:top w:val="nil"/>
              <w:left w:val="nil"/>
              <w:bottom w:val="nil"/>
              <w:right w:val="nil"/>
            </w:tcBorders>
            <w:noWrap/>
            <w:vAlign w:val="center"/>
          </w:tcPr>
          <w:p>
            <w:pPr>
              <w:spacing w:line="360" w:lineRule="auto"/>
              <w:ind w:firstLine="480" w:firstLineChars="200"/>
              <w:rPr>
                <w:rFonts w:ascii="宋体" w:hAnsi="宋体" w:eastAsia="宋体" w:cs="宋体"/>
                <w:sz w:val="24"/>
              </w:rPr>
            </w:pPr>
            <w:r>
              <w:rPr>
                <w:rFonts w:hint="eastAsia" w:ascii="宋体" w:hAnsi="宋体" w:eastAsia="宋体" w:cs="宋体"/>
                <w:sz w:val="24"/>
              </w:rPr>
              <w:t>2019-2020年度广东省职业院校学生专业技能大赛（中职组）获奖情况统计</w:t>
            </w:r>
          </w:p>
          <w:tbl>
            <w:tblPr>
              <w:tblStyle w:val="16"/>
              <w:tblW w:w="8465" w:type="dxa"/>
              <w:tblInd w:w="0" w:type="dxa"/>
              <w:tblLayout w:type="fixed"/>
              <w:tblCellMar>
                <w:top w:w="0" w:type="dxa"/>
                <w:left w:w="108" w:type="dxa"/>
                <w:bottom w:w="0" w:type="dxa"/>
                <w:right w:w="108" w:type="dxa"/>
              </w:tblCellMar>
            </w:tblPr>
            <w:tblGrid>
              <w:gridCol w:w="694"/>
              <w:gridCol w:w="2283"/>
              <w:gridCol w:w="992"/>
              <w:gridCol w:w="1828"/>
              <w:gridCol w:w="1393"/>
              <w:gridCol w:w="1275"/>
            </w:tblGrid>
            <w:tr>
              <w:tblPrEx>
                <w:tblCellMar>
                  <w:top w:w="0" w:type="dxa"/>
                  <w:left w:w="108" w:type="dxa"/>
                  <w:bottom w:w="0" w:type="dxa"/>
                  <w:right w:w="108" w:type="dxa"/>
                </w:tblCellMar>
              </w:tblPrEx>
              <w:trPr>
                <w:trHeight w:val="540" w:hRule="atLeast"/>
              </w:trPr>
              <w:tc>
                <w:tcPr>
                  <w:tcW w:w="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序号</w:t>
                  </w:r>
                </w:p>
              </w:tc>
              <w:tc>
                <w:tcPr>
                  <w:tcW w:w="22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项目名称</w:t>
                  </w: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参赛 学校</w:t>
                  </w:r>
                </w:p>
              </w:tc>
              <w:tc>
                <w:tcPr>
                  <w:tcW w:w="1828"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指导教师姓名</w:t>
                  </w:r>
                </w:p>
              </w:tc>
              <w:tc>
                <w:tcPr>
                  <w:tcW w:w="13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选手姓名</w:t>
                  </w:r>
                </w:p>
              </w:tc>
              <w:tc>
                <w:tcPr>
                  <w:tcW w:w="127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奖项</w:t>
                  </w:r>
                </w:p>
              </w:tc>
            </w:tr>
            <w:tr>
              <w:tblPrEx>
                <w:tblCellMar>
                  <w:top w:w="0" w:type="dxa"/>
                  <w:left w:w="108" w:type="dxa"/>
                  <w:bottom w:w="0" w:type="dxa"/>
                  <w:right w:w="108" w:type="dxa"/>
                </w:tblCellMar>
              </w:tblPrEx>
              <w:trPr>
                <w:trHeight w:val="810" w:hRule="atLeast"/>
              </w:trPr>
              <w:tc>
                <w:tcPr>
                  <w:tcW w:w="694"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1</w:t>
                  </w:r>
                </w:p>
              </w:tc>
              <w:tc>
                <w:tcPr>
                  <w:tcW w:w="228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电子电路装调与应用</w:t>
                  </w:r>
                </w:p>
              </w:tc>
              <w:tc>
                <w:tcPr>
                  <w:tcW w:w="992" w:type="dxa"/>
                  <w:vMerge w:val="restart"/>
                  <w:tcBorders>
                    <w:top w:val="nil"/>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揭阳捷和职业技术学校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王晓鹏</w:t>
                  </w:r>
                </w:p>
              </w:tc>
              <w:tc>
                <w:tcPr>
                  <w:tcW w:w="1393"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方宏涛</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二等奖</w:t>
                  </w:r>
                </w:p>
              </w:tc>
            </w:tr>
            <w:tr>
              <w:tblPrEx>
                <w:tblCellMar>
                  <w:top w:w="0" w:type="dxa"/>
                  <w:left w:w="108" w:type="dxa"/>
                  <w:bottom w:w="0" w:type="dxa"/>
                  <w:right w:w="108" w:type="dxa"/>
                </w:tblCellMar>
              </w:tblPrEx>
              <w:trPr>
                <w:trHeight w:val="81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2</w:t>
                  </w:r>
                </w:p>
              </w:tc>
              <w:tc>
                <w:tcPr>
                  <w:tcW w:w="228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广告设计与制作</w:t>
                  </w:r>
                </w:p>
              </w:tc>
              <w:tc>
                <w:tcPr>
                  <w:tcW w:w="992" w:type="dxa"/>
                  <w:vMerge w:val="continue"/>
                  <w:tcBorders>
                    <w:left w:val="nil"/>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官丽萍</w:t>
                  </w:r>
                </w:p>
              </w:tc>
              <w:tc>
                <w:tcPr>
                  <w:tcW w:w="1393"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黄烁冰</w:t>
                  </w:r>
                </w:p>
              </w:tc>
              <w:tc>
                <w:tcPr>
                  <w:tcW w:w="127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二等奖</w:t>
                  </w:r>
                </w:p>
              </w:tc>
            </w:tr>
            <w:tr>
              <w:tblPrEx>
                <w:tblCellMar>
                  <w:top w:w="0" w:type="dxa"/>
                  <w:left w:w="108" w:type="dxa"/>
                  <w:bottom w:w="0" w:type="dxa"/>
                  <w:right w:w="108" w:type="dxa"/>
                </w:tblCellMar>
              </w:tblPrEx>
              <w:trPr>
                <w:trHeight w:val="810" w:hRule="atLeast"/>
              </w:trPr>
              <w:tc>
                <w:tcPr>
                  <w:tcW w:w="694"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3</w:t>
                  </w:r>
                </w:p>
              </w:tc>
              <w:tc>
                <w:tcPr>
                  <w:tcW w:w="228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3D打印应用综合技术</w:t>
                  </w:r>
                </w:p>
              </w:tc>
              <w:tc>
                <w:tcPr>
                  <w:tcW w:w="992"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景继军,陈锦裕</w:t>
                  </w:r>
                </w:p>
              </w:tc>
              <w:tc>
                <w:tcPr>
                  <w:tcW w:w="1393"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何健喜,陈佳炜</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三等奖</w:t>
                  </w:r>
                </w:p>
              </w:tc>
            </w:tr>
            <w:tr>
              <w:tblPrEx>
                <w:tblCellMar>
                  <w:top w:w="0" w:type="dxa"/>
                  <w:left w:w="108" w:type="dxa"/>
                  <w:bottom w:w="0" w:type="dxa"/>
                  <w:right w:w="108" w:type="dxa"/>
                </w:tblCellMar>
              </w:tblPrEx>
              <w:trPr>
                <w:trHeight w:val="810" w:hRule="atLeast"/>
              </w:trPr>
              <w:tc>
                <w:tcPr>
                  <w:tcW w:w="694"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4</w:t>
                  </w:r>
                </w:p>
              </w:tc>
              <w:tc>
                <w:tcPr>
                  <w:tcW w:w="228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幼儿园活动设计</w:t>
                  </w:r>
                </w:p>
              </w:tc>
              <w:tc>
                <w:tcPr>
                  <w:tcW w:w="992"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陈思曼</w:t>
                  </w:r>
                </w:p>
              </w:tc>
              <w:tc>
                <w:tcPr>
                  <w:tcW w:w="1393"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黄妍镃,陈烁英,林子茹</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三等奖</w:t>
                  </w:r>
                </w:p>
              </w:tc>
            </w:tr>
            <w:tr>
              <w:tblPrEx>
                <w:tblCellMar>
                  <w:top w:w="0" w:type="dxa"/>
                  <w:left w:w="108" w:type="dxa"/>
                  <w:bottom w:w="0" w:type="dxa"/>
                  <w:right w:w="108" w:type="dxa"/>
                </w:tblCellMar>
              </w:tblPrEx>
              <w:trPr>
                <w:trHeight w:val="1080" w:hRule="atLeast"/>
              </w:trPr>
              <w:tc>
                <w:tcPr>
                  <w:tcW w:w="694"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5</w:t>
                  </w:r>
                </w:p>
              </w:tc>
              <w:tc>
                <w:tcPr>
                  <w:tcW w:w="228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烹饪</w:t>
                  </w:r>
                </w:p>
              </w:tc>
              <w:tc>
                <w:tcPr>
                  <w:tcW w:w="992" w:type="dxa"/>
                  <w:vMerge w:val="continue"/>
                  <w:tcBorders>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郭旭钊,陈志东,潘润,郑文焕</w:t>
                  </w:r>
                </w:p>
              </w:tc>
              <w:tc>
                <w:tcPr>
                  <w:tcW w:w="1393"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郑耀东,王俊,何泽安,李钰敏</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三等奖</w:t>
                  </w:r>
                </w:p>
              </w:tc>
            </w:tr>
          </w:tbl>
          <w:p>
            <w:pPr>
              <w:spacing w:line="360" w:lineRule="auto"/>
              <w:ind w:firstLine="480" w:firstLineChars="200"/>
              <w:rPr>
                <w:rFonts w:ascii="宋体" w:hAnsi="宋体" w:eastAsia="宋体" w:cs="宋体"/>
                <w:sz w:val="24"/>
              </w:rPr>
            </w:pPr>
          </w:p>
        </w:tc>
      </w:tr>
    </w:tbl>
    <w:p>
      <w:pPr>
        <w:pStyle w:val="6"/>
        <w:numPr>
          <w:ilvl w:val="0"/>
          <w:numId w:val="14"/>
        </w:numPr>
        <w:bidi w:val="0"/>
        <w:ind w:firstLine="723"/>
        <w:rPr>
          <w:rFonts w:hint="eastAsia"/>
        </w:rPr>
      </w:pPr>
      <w:r>
        <w:rPr>
          <w:rFonts w:hint="eastAsia"/>
        </w:rPr>
        <w:t>2020-2021年度广东省职业院校学生专业技能大赛（中职组）我校获奖情况</w:t>
      </w:r>
    </w:p>
    <w:tbl>
      <w:tblPr>
        <w:tblStyle w:val="16"/>
        <w:tblW w:w="9322" w:type="dxa"/>
        <w:tblInd w:w="-34" w:type="dxa"/>
        <w:tblLayout w:type="fixed"/>
        <w:tblCellMar>
          <w:top w:w="0" w:type="dxa"/>
          <w:left w:w="108" w:type="dxa"/>
          <w:bottom w:w="0" w:type="dxa"/>
          <w:right w:w="108" w:type="dxa"/>
        </w:tblCellMar>
      </w:tblPr>
      <w:tblGrid>
        <w:gridCol w:w="9322"/>
      </w:tblGrid>
      <w:tr>
        <w:tblPrEx>
          <w:tblCellMar>
            <w:top w:w="0" w:type="dxa"/>
            <w:left w:w="108" w:type="dxa"/>
            <w:bottom w:w="0" w:type="dxa"/>
            <w:right w:w="108" w:type="dxa"/>
          </w:tblCellMar>
        </w:tblPrEx>
        <w:trPr>
          <w:trHeight w:val="540" w:hRule="atLeast"/>
        </w:trPr>
        <w:tc>
          <w:tcPr>
            <w:tcW w:w="9322" w:type="dxa"/>
            <w:tcBorders>
              <w:top w:val="nil"/>
              <w:left w:val="nil"/>
              <w:bottom w:val="nil"/>
              <w:right w:val="nil"/>
            </w:tcBorders>
            <w:noWrap/>
            <w:vAlign w:val="center"/>
          </w:tcPr>
          <w:p>
            <w:pPr>
              <w:spacing w:line="360" w:lineRule="auto"/>
              <w:ind w:firstLine="480" w:firstLineChars="200"/>
              <w:rPr>
                <w:rFonts w:ascii="宋体" w:hAnsi="宋体" w:eastAsia="宋体" w:cs="宋体"/>
                <w:sz w:val="24"/>
              </w:rPr>
            </w:pPr>
            <w:r>
              <w:rPr>
                <w:rFonts w:hint="eastAsia" w:ascii="宋体" w:hAnsi="宋体" w:eastAsia="宋体" w:cs="宋体"/>
                <w:sz w:val="24"/>
              </w:rPr>
              <w:t>2020-2021年度广东省职业院校学生专业技能大赛（中职组）我校获奖名单</w:t>
            </w:r>
          </w:p>
          <w:tbl>
            <w:tblPr>
              <w:tblStyle w:val="16"/>
              <w:tblW w:w="8510" w:type="dxa"/>
              <w:tblInd w:w="0" w:type="dxa"/>
              <w:tblLayout w:type="fixed"/>
              <w:tblCellMar>
                <w:top w:w="0" w:type="dxa"/>
                <w:left w:w="108" w:type="dxa"/>
                <w:bottom w:w="0" w:type="dxa"/>
                <w:right w:w="108" w:type="dxa"/>
              </w:tblCellMar>
            </w:tblPr>
            <w:tblGrid>
              <w:gridCol w:w="694"/>
              <w:gridCol w:w="2101"/>
              <w:gridCol w:w="1174"/>
              <w:gridCol w:w="1828"/>
              <w:gridCol w:w="1858"/>
              <w:gridCol w:w="855"/>
            </w:tblGrid>
            <w:tr>
              <w:tblPrEx>
                <w:tblCellMar>
                  <w:top w:w="0" w:type="dxa"/>
                  <w:left w:w="108" w:type="dxa"/>
                  <w:bottom w:w="0" w:type="dxa"/>
                  <w:right w:w="108" w:type="dxa"/>
                </w:tblCellMar>
              </w:tblPrEx>
              <w:trPr>
                <w:trHeight w:val="540" w:hRule="atLeast"/>
              </w:trPr>
              <w:tc>
                <w:tcPr>
                  <w:tcW w:w="6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序号</w:t>
                  </w:r>
                </w:p>
              </w:tc>
              <w:tc>
                <w:tcPr>
                  <w:tcW w:w="21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项目名称</w:t>
                  </w:r>
                </w:p>
              </w:tc>
              <w:tc>
                <w:tcPr>
                  <w:tcW w:w="1174"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参赛学校</w:t>
                  </w:r>
                </w:p>
              </w:tc>
              <w:tc>
                <w:tcPr>
                  <w:tcW w:w="1828"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指导教师姓名</w:t>
                  </w:r>
                </w:p>
              </w:tc>
              <w:tc>
                <w:tcPr>
                  <w:tcW w:w="1858"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选手姓名</w:t>
                  </w:r>
                </w:p>
              </w:tc>
              <w:tc>
                <w:tcPr>
                  <w:tcW w:w="855"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奖项</w:t>
                  </w:r>
                </w:p>
              </w:tc>
            </w:tr>
            <w:tr>
              <w:tblPrEx>
                <w:tblCellMar>
                  <w:top w:w="0" w:type="dxa"/>
                  <w:left w:w="108" w:type="dxa"/>
                  <w:bottom w:w="0" w:type="dxa"/>
                  <w:right w:w="108" w:type="dxa"/>
                </w:tblCellMar>
              </w:tblPrEx>
              <w:trPr>
                <w:trHeight w:val="810" w:hRule="atLeast"/>
              </w:trPr>
              <w:tc>
                <w:tcPr>
                  <w:tcW w:w="694"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1</w:t>
                  </w:r>
                </w:p>
              </w:tc>
              <w:tc>
                <w:tcPr>
                  <w:tcW w:w="2101"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3D打印应用综合技术</w:t>
                  </w:r>
                </w:p>
              </w:tc>
              <w:tc>
                <w:tcPr>
                  <w:tcW w:w="1174" w:type="dxa"/>
                  <w:vMerge w:val="restart"/>
                  <w:tcBorders>
                    <w:top w:val="nil"/>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揭阳捷和职业技术学校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景继军,陈锦裕</w:t>
                  </w:r>
                </w:p>
              </w:tc>
              <w:tc>
                <w:tcPr>
                  <w:tcW w:w="185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陈佳炜,何健喜</w:t>
                  </w:r>
                </w:p>
              </w:tc>
              <w:tc>
                <w:tcPr>
                  <w:tcW w:w="85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三等奖</w:t>
                  </w:r>
                </w:p>
              </w:tc>
            </w:tr>
            <w:tr>
              <w:tblPrEx>
                <w:tblCellMar>
                  <w:top w:w="0" w:type="dxa"/>
                  <w:left w:w="108" w:type="dxa"/>
                  <w:bottom w:w="0" w:type="dxa"/>
                  <w:right w:w="108" w:type="dxa"/>
                </w:tblCellMar>
              </w:tblPrEx>
              <w:trPr>
                <w:trHeight w:val="810" w:hRule="atLeast"/>
              </w:trPr>
              <w:tc>
                <w:tcPr>
                  <w:tcW w:w="694"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2</w:t>
                  </w:r>
                </w:p>
              </w:tc>
              <w:tc>
                <w:tcPr>
                  <w:tcW w:w="2101"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短视频技术与应用</w:t>
                  </w:r>
                </w:p>
              </w:tc>
              <w:tc>
                <w:tcPr>
                  <w:tcW w:w="1174" w:type="dxa"/>
                  <w:vMerge w:val="continue"/>
                  <w:tcBorders>
                    <w:left w:val="nil"/>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周婉</w:t>
                  </w:r>
                </w:p>
              </w:tc>
              <w:tc>
                <w:tcPr>
                  <w:tcW w:w="1858"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王荣城</w:t>
                  </w:r>
                </w:p>
              </w:tc>
              <w:tc>
                <w:tcPr>
                  <w:tcW w:w="855" w:type="dxa"/>
                  <w:tcBorders>
                    <w:top w:val="nil"/>
                    <w:left w:val="nil"/>
                    <w:bottom w:val="single" w:color="auto" w:sz="4" w:space="0"/>
                    <w:right w:val="single" w:color="auto" w:sz="4" w:space="0"/>
                  </w:tcBorders>
                  <w:shd w:val="clear" w:color="000000" w:fill="FFFFFF"/>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三等奖</w:t>
                  </w:r>
                </w:p>
              </w:tc>
            </w:tr>
            <w:tr>
              <w:tblPrEx>
                <w:tblCellMar>
                  <w:top w:w="0" w:type="dxa"/>
                  <w:left w:w="108" w:type="dxa"/>
                  <w:bottom w:w="0" w:type="dxa"/>
                  <w:right w:w="108" w:type="dxa"/>
                </w:tblCellMar>
              </w:tblPrEx>
              <w:trPr>
                <w:trHeight w:val="810" w:hRule="atLeast"/>
              </w:trPr>
              <w:tc>
                <w:tcPr>
                  <w:tcW w:w="694"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3</w:t>
                  </w:r>
                </w:p>
              </w:tc>
              <w:tc>
                <w:tcPr>
                  <w:tcW w:w="2101"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广告设计与制作</w:t>
                  </w:r>
                </w:p>
              </w:tc>
              <w:tc>
                <w:tcPr>
                  <w:tcW w:w="1174"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官丽萍</w:t>
                  </w:r>
                </w:p>
              </w:tc>
              <w:tc>
                <w:tcPr>
                  <w:tcW w:w="185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韩佳慧</w:t>
                  </w:r>
                </w:p>
              </w:tc>
              <w:tc>
                <w:tcPr>
                  <w:tcW w:w="85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二等奖</w:t>
                  </w:r>
                </w:p>
              </w:tc>
            </w:tr>
            <w:tr>
              <w:tblPrEx>
                <w:tblCellMar>
                  <w:top w:w="0" w:type="dxa"/>
                  <w:left w:w="108" w:type="dxa"/>
                  <w:bottom w:w="0" w:type="dxa"/>
                  <w:right w:w="108" w:type="dxa"/>
                </w:tblCellMar>
              </w:tblPrEx>
              <w:trPr>
                <w:trHeight w:val="810" w:hRule="atLeast"/>
              </w:trPr>
              <w:tc>
                <w:tcPr>
                  <w:tcW w:w="694"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4</w:t>
                  </w:r>
                </w:p>
              </w:tc>
              <w:tc>
                <w:tcPr>
                  <w:tcW w:w="2101"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电子电路装调与应用</w:t>
                  </w:r>
                </w:p>
              </w:tc>
              <w:tc>
                <w:tcPr>
                  <w:tcW w:w="1174" w:type="dxa"/>
                  <w:vMerge w:val="continue"/>
                  <w:tcBorders>
                    <w:left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王晓鹏</w:t>
                  </w:r>
                </w:p>
              </w:tc>
              <w:tc>
                <w:tcPr>
                  <w:tcW w:w="185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方宏涛</w:t>
                  </w:r>
                </w:p>
              </w:tc>
              <w:tc>
                <w:tcPr>
                  <w:tcW w:w="85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二等奖</w:t>
                  </w:r>
                </w:p>
              </w:tc>
            </w:tr>
            <w:tr>
              <w:tblPrEx>
                <w:tblCellMar>
                  <w:top w:w="0" w:type="dxa"/>
                  <w:left w:w="108" w:type="dxa"/>
                  <w:bottom w:w="0" w:type="dxa"/>
                  <w:right w:w="108" w:type="dxa"/>
                </w:tblCellMar>
              </w:tblPrEx>
              <w:trPr>
                <w:trHeight w:val="1080" w:hRule="atLeast"/>
              </w:trPr>
              <w:tc>
                <w:tcPr>
                  <w:tcW w:w="694"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5</w:t>
                  </w:r>
                </w:p>
              </w:tc>
              <w:tc>
                <w:tcPr>
                  <w:tcW w:w="2101"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无人机应用技能与创新</w:t>
                  </w:r>
                </w:p>
              </w:tc>
              <w:tc>
                <w:tcPr>
                  <w:tcW w:w="1174" w:type="dxa"/>
                  <w:vMerge w:val="continue"/>
                  <w:tcBorders>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王晓鹏,林婉婉</w:t>
                  </w:r>
                </w:p>
              </w:tc>
              <w:tc>
                <w:tcPr>
                  <w:tcW w:w="185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王昊鑫,林嘉荣</w:t>
                  </w:r>
                </w:p>
              </w:tc>
              <w:tc>
                <w:tcPr>
                  <w:tcW w:w="85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三等奖</w:t>
                  </w:r>
                </w:p>
              </w:tc>
            </w:tr>
            <w:tr>
              <w:tblPrEx>
                <w:tblCellMar>
                  <w:top w:w="0" w:type="dxa"/>
                  <w:left w:w="108" w:type="dxa"/>
                  <w:bottom w:w="0" w:type="dxa"/>
                  <w:right w:w="108" w:type="dxa"/>
                </w:tblCellMar>
              </w:tblPrEx>
              <w:trPr>
                <w:trHeight w:val="1080" w:hRule="atLeast"/>
              </w:trPr>
              <w:tc>
                <w:tcPr>
                  <w:tcW w:w="694"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6</w:t>
                  </w:r>
                </w:p>
              </w:tc>
              <w:tc>
                <w:tcPr>
                  <w:tcW w:w="2101"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烹饪</w:t>
                  </w:r>
                </w:p>
              </w:tc>
              <w:tc>
                <w:tcPr>
                  <w:tcW w:w="1174" w:type="dxa"/>
                  <w:vMerge w:val="continue"/>
                  <w:tcBorders>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p>
              </w:tc>
              <w:tc>
                <w:tcPr>
                  <w:tcW w:w="182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潘润,郑文换,陈志东,黄伟楠</w:t>
                  </w:r>
                </w:p>
              </w:tc>
              <w:tc>
                <w:tcPr>
                  <w:tcW w:w="1858"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黄军,郑佳杏,张军军,钟晓坚</w:t>
                  </w:r>
                </w:p>
              </w:tc>
              <w:tc>
                <w:tcPr>
                  <w:tcW w:w="855"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eastAsia="宋体" w:cs="宋体"/>
                      <w:sz w:val="24"/>
                    </w:rPr>
                  </w:pPr>
                  <w:r>
                    <w:rPr>
                      <w:rFonts w:hint="eastAsia" w:ascii="宋体" w:hAnsi="宋体" w:eastAsia="宋体" w:cs="宋体"/>
                      <w:sz w:val="24"/>
                    </w:rPr>
                    <w:t>三等奖</w:t>
                  </w:r>
                </w:p>
              </w:tc>
            </w:tr>
          </w:tbl>
          <w:p>
            <w:pPr>
              <w:spacing w:line="360" w:lineRule="auto"/>
              <w:ind w:firstLine="480" w:firstLineChars="200"/>
              <w:rPr>
                <w:rFonts w:ascii="宋体" w:hAnsi="宋体" w:eastAsia="宋体" w:cs="宋体"/>
                <w:sz w:val="24"/>
              </w:rPr>
            </w:pPr>
          </w:p>
        </w:tc>
      </w:tr>
    </w:tbl>
    <w:p>
      <w:pPr>
        <w:spacing w:line="360" w:lineRule="auto"/>
        <w:ind w:firstLine="480" w:firstLineChars="200"/>
        <w:rPr>
          <w:rFonts w:ascii="宋体" w:hAnsi="宋体" w:eastAsia="宋体" w:cs="宋体"/>
          <w:sz w:val="24"/>
        </w:rPr>
      </w:pPr>
    </w:p>
    <w:p>
      <w:pPr>
        <w:pStyle w:val="5"/>
        <w:keepNext w:val="0"/>
        <w:keepLines w:val="0"/>
        <w:pageBreakBefore w:val="0"/>
        <w:widowControl w:val="0"/>
        <w:numPr>
          <w:ilvl w:val="0"/>
          <w:numId w:val="0"/>
        </w:numPr>
        <w:kinsoku/>
        <w:wordWrap/>
        <w:overflowPunct/>
        <w:topLinePunct w:val="0"/>
        <w:autoSpaceDE/>
        <w:autoSpaceDN/>
        <w:bidi w:val="0"/>
        <w:adjustRightInd/>
        <w:snapToGrid/>
        <w:ind w:firstLine="240" w:firstLineChars="100"/>
        <w:textAlignment w:val="auto"/>
        <w:rPr>
          <w:rFonts w:hint="eastAsia" w:ascii="Arial" w:hAnsi="Arial"/>
        </w:rPr>
      </w:pPr>
      <w:r>
        <w:rPr>
          <w:rFonts w:hint="eastAsia"/>
          <w:lang w:eastAsia="zh-CN"/>
        </w:rPr>
        <w:t>（</w:t>
      </w:r>
      <w:r>
        <w:rPr>
          <w:rFonts w:hint="eastAsia"/>
          <w:lang w:val="en-US" w:eastAsia="zh-CN"/>
        </w:rPr>
        <w:t>2</w:t>
      </w:r>
      <w:r>
        <w:rPr>
          <w:rFonts w:hint="eastAsia"/>
          <w:lang w:eastAsia="zh-CN"/>
        </w:rPr>
        <w:t>）</w:t>
      </w:r>
      <w:r>
        <w:rPr>
          <w:rFonts w:hint="eastAsia" w:ascii="Arial" w:hAnsi="Arial"/>
        </w:rPr>
        <w:t>学生升学情况</w:t>
      </w:r>
    </w:p>
    <w:p>
      <w:pPr>
        <w:pStyle w:val="6"/>
        <w:numPr>
          <w:ilvl w:val="0"/>
          <w:numId w:val="15"/>
        </w:numPr>
        <w:bidi w:val="0"/>
        <w:ind w:firstLine="723"/>
        <w:rPr>
          <w:rFonts w:hint="eastAsia"/>
        </w:rPr>
      </w:pPr>
      <w:r>
        <w:rPr>
          <w:rFonts w:hint="eastAsia"/>
        </w:rPr>
        <w:t>通过职教高考升学人数：2020年为164人，2021年为200人；</w:t>
      </w:r>
    </w:p>
    <w:p>
      <w:pPr>
        <w:pStyle w:val="6"/>
        <w:numPr>
          <w:ilvl w:val="0"/>
          <w:numId w:val="15"/>
        </w:numPr>
        <w:bidi w:val="0"/>
        <w:ind w:firstLine="723"/>
        <w:rPr>
          <w:rFonts w:hint="eastAsia"/>
        </w:rPr>
      </w:pPr>
      <w:r>
        <w:rPr>
          <w:rFonts w:hint="eastAsia"/>
        </w:rPr>
        <w:t>通过对口单独招生升学人数：2021年为7人；</w:t>
      </w:r>
    </w:p>
    <w:p>
      <w:pPr>
        <w:pStyle w:val="6"/>
        <w:numPr>
          <w:ilvl w:val="0"/>
          <w:numId w:val="15"/>
        </w:numPr>
        <w:bidi w:val="0"/>
        <w:ind w:firstLine="723"/>
        <w:rPr>
          <w:rFonts w:hint="eastAsia"/>
        </w:rPr>
      </w:pPr>
      <w:r>
        <w:rPr>
          <w:rFonts w:hint="eastAsia"/>
        </w:rPr>
        <w:t>通过中高贯通升学人数：2020年为18人，2021年为56人；</w:t>
      </w:r>
    </w:p>
    <w:p>
      <w:pPr>
        <w:pStyle w:val="6"/>
        <w:numPr>
          <w:ilvl w:val="0"/>
          <w:numId w:val="15"/>
        </w:numPr>
        <w:bidi w:val="0"/>
        <w:ind w:firstLine="723"/>
        <w:rPr>
          <w:rFonts w:hint="eastAsia"/>
        </w:rPr>
      </w:pPr>
      <w:r>
        <w:rPr>
          <w:rFonts w:hint="eastAsia"/>
        </w:rPr>
        <w:t>通过技能拔尖人才免试升学人数：2020年为1人；</w:t>
      </w:r>
    </w:p>
    <w:p>
      <w:pPr>
        <w:pStyle w:val="6"/>
        <w:numPr>
          <w:ilvl w:val="0"/>
          <w:numId w:val="15"/>
        </w:numPr>
        <w:bidi w:val="0"/>
        <w:ind w:firstLine="723"/>
        <w:rPr>
          <w:rFonts w:hint="eastAsia"/>
        </w:rPr>
      </w:pPr>
      <w:r>
        <w:rPr>
          <w:rFonts w:hint="eastAsia"/>
        </w:rPr>
        <w:t>升入本科院校人数：2020年为1人，2021年为1人；</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240" w:firstLineChars="100"/>
        <w:textAlignment w:val="auto"/>
        <w:rPr>
          <w:rFonts w:hint="eastAsia" w:ascii="Arial" w:hAnsi="Arial"/>
        </w:rPr>
      </w:pPr>
      <w:r>
        <w:rPr>
          <w:rFonts w:hint="eastAsia"/>
          <w:lang w:eastAsia="zh-CN"/>
        </w:rPr>
        <w:t>（</w:t>
      </w:r>
      <w:r>
        <w:rPr>
          <w:rFonts w:hint="eastAsia"/>
          <w:lang w:val="en-US" w:eastAsia="zh-CN"/>
        </w:rPr>
        <w:t>3</w:t>
      </w:r>
      <w:r>
        <w:rPr>
          <w:rFonts w:hint="eastAsia"/>
          <w:lang w:eastAsia="zh-CN"/>
        </w:rPr>
        <w:t>）</w:t>
      </w:r>
      <w:r>
        <w:rPr>
          <w:rFonts w:hint="eastAsia" w:ascii="Arial" w:hAnsi="Arial"/>
        </w:rPr>
        <w:t>学生创业就业情况</w:t>
      </w:r>
    </w:p>
    <w:p>
      <w:pPr>
        <w:pStyle w:val="6"/>
        <w:numPr>
          <w:ilvl w:val="0"/>
          <w:numId w:val="16"/>
        </w:numPr>
        <w:bidi w:val="0"/>
        <w:ind w:firstLine="723"/>
        <w:rPr>
          <w:rFonts w:hint="eastAsia"/>
        </w:rPr>
      </w:pPr>
      <w:r>
        <w:rPr>
          <w:rFonts w:hint="eastAsia"/>
        </w:rPr>
        <w:t>学生创业创新情况</w:t>
      </w:r>
    </w:p>
    <w:p>
      <w:pPr>
        <w:spacing w:line="360" w:lineRule="auto"/>
        <w:ind w:firstLine="480" w:firstLineChars="200"/>
        <w:rPr>
          <w:rFonts w:hint="eastAsia" w:ascii="宋体" w:hAnsi="宋体" w:eastAsia="宋体" w:cs="宋体"/>
          <w:color w:val="000000"/>
          <w:sz w:val="24"/>
        </w:rPr>
      </w:pPr>
      <w:bookmarkStart w:id="15" w:name="_Toc505003767"/>
      <w:r>
        <w:rPr>
          <w:rFonts w:hint="eastAsia" w:ascii="宋体" w:hAnsi="宋体" w:eastAsia="宋体" w:cs="宋体"/>
          <w:color w:val="000000"/>
          <w:sz w:val="24"/>
        </w:rPr>
        <w:t>学校积极开展丰富多样的就业创业教育活动，加强对学生创业创新的指导力度，通过邀请专业的就业指导讲师，给学生上就业创业指导课，主动为学生规划职业生涯，提升学生职业能力、创新能力，完善就业服务体系，学生对学校就业指导工作满意度均在96%以上。</w:t>
      </w:r>
    </w:p>
    <w:p>
      <w:pPr>
        <w:pStyle w:val="6"/>
        <w:numPr>
          <w:ilvl w:val="0"/>
          <w:numId w:val="16"/>
        </w:numPr>
        <w:bidi w:val="0"/>
        <w:ind w:firstLine="723"/>
        <w:rPr>
          <w:rFonts w:hint="eastAsia"/>
        </w:rPr>
      </w:pPr>
      <w:r>
        <w:rPr>
          <w:rFonts w:hint="eastAsia"/>
        </w:rPr>
        <w:t>学生就业情况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本届毕业生1147人，其中就业（含升学）人数1130人，毕业生创业人数18人，毕业生创业比例为1.6%，毕业生专业对口就业率为63%，在规模以上企业就业人数为8人、在中小微企业就业人数为858人。</w:t>
      </w:r>
    </w:p>
    <w:bookmarkEnd w:id="15"/>
    <w:p>
      <w:pPr>
        <w:pStyle w:val="3"/>
        <w:numPr>
          <w:ilvl w:val="0"/>
          <w:numId w:val="7"/>
        </w:numPr>
        <w:bidi w:val="0"/>
        <w:ind w:left="60" w:leftChars="0" w:firstLine="420" w:firstLineChars="0"/>
        <w:rPr>
          <w:rFonts w:hint="eastAsia"/>
          <w:b/>
          <w:lang w:val="en-US" w:eastAsia="zh-CN"/>
        </w:rPr>
      </w:pPr>
      <w:bookmarkStart w:id="16" w:name="_Toc14764"/>
      <w:r>
        <w:rPr>
          <w:rFonts w:hint="eastAsia"/>
          <w:b/>
          <w:lang w:val="en-US" w:eastAsia="zh-CN"/>
        </w:rPr>
        <w:t>学生社团及第二课堂活动情况</w:t>
      </w:r>
      <w:bookmarkEnd w:id="16"/>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我校第一个社团成立至今，社团数量不断增加，社团队伍不断壮大，社团领域不断拓展，育人效益不断增强，呈现出良好的发展态势。近年来学生社团出现了百花齐放、百家争鸣的繁荣局面。学生社团快速发展，规模不断增大，涵盖文学、艺术、体育运动等功能丰富、类型多样的。学生社团的活动越来越重内涵、重创新，整体活动质量有了很大提高。上学期开始 一大批思想内涵深刻、贴近学生生活、活动形式新颖的社团活动逐渐出现。从活动范围来看，社团活动正由社团内部或学校内相对封闭的方式变为走出社团走出校园，深入社会，在奉献社会的过程中完成自身的人格塑造。这一态势不但有利于进一步发挥学生社团在丰富校园文化氛围方面的作用，扩大社团的影响力，而且对促进社团自身建设、提高社团整体水平、实现可持续发展也具有重要作用。</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截止本学期我校社团和兴趣小组共31个，共计参与人数997人，社团类型有：宣传服务类、专业术科类、文学艺术类、体育武术类，共4大类。其中宣传服务类社团2个、专业术科类社团9个、文学艺术类社团12个、体育武术类社团8个。（详见附表）</w:t>
      </w:r>
    </w:p>
    <w:p>
      <w:pPr>
        <w:keepNext w:val="0"/>
        <w:keepLines w:val="0"/>
        <w:widowControl/>
        <w:suppressLineNumbers w:val="0"/>
        <w:jc w:val="left"/>
        <w:rPr>
          <w:rFonts w:hint="eastAsia" w:eastAsiaTheme="minorEastAsia"/>
          <w:sz w:val="32"/>
          <w:szCs w:val="40"/>
          <w:lang w:eastAsia="zh-CN"/>
        </w:rPr>
      </w:pPr>
      <w:r>
        <w:rPr>
          <w:rFonts w:hint="eastAsia" w:eastAsiaTheme="minorEastAsia"/>
          <w:sz w:val="32"/>
          <w:szCs w:val="40"/>
          <w:lang w:eastAsia="zh-CN"/>
        </w:rPr>
        <w:drawing>
          <wp:anchor distT="0" distB="0" distL="114300" distR="114300" simplePos="0" relativeHeight="251678720" behindDoc="0" locked="0" layoutInCell="1" allowOverlap="1">
            <wp:simplePos x="0" y="0"/>
            <wp:positionH relativeFrom="column">
              <wp:posOffset>28575</wp:posOffset>
            </wp:positionH>
            <wp:positionV relativeFrom="paragraph">
              <wp:posOffset>4000500</wp:posOffset>
            </wp:positionV>
            <wp:extent cx="5400675" cy="3596640"/>
            <wp:effectExtent l="0" t="0" r="9525" b="3810"/>
            <wp:wrapSquare wrapText="bothSides"/>
            <wp:docPr id="71" name="图片 71" descr="e250f4f56ae2be7d64cab8dff54e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250f4f56ae2be7d64cab8dff54e205"/>
                    <pic:cNvPicPr>
                      <a:picLocks noChangeAspect="1"/>
                    </pic:cNvPicPr>
                  </pic:nvPicPr>
                  <pic:blipFill>
                    <a:blip r:embed="rId59"/>
                    <a:stretch>
                      <a:fillRect/>
                    </a:stretch>
                  </pic:blipFill>
                  <pic:spPr>
                    <a:xfrm>
                      <a:off x="0" y="0"/>
                      <a:ext cx="5400675" cy="3596640"/>
                    </a:xfrm>
                    <a:prstGeom prst="rect">
                      <a:avLst/>
                    </a:prstGeom>
                  </pic:spPr>
                </pic:pic>
              </a:graphicData>
            </a:graphic>
          </wp:anchor>
        </w:drawing>
      </w:r>
      <w:r>
        <w:rPr>
          <w:rFonts w:hint="eastAsia" w:eastAsiaTheme="minorEastAsia"/>
          <w:sz w:val="32"/>
          <w:szCs w:val="40"/>
          <w:lang w:eastAsia="zh-CN"/>
        </w:rPr>
        <w:drawing>
          <wp:anchor distT="0" distB="0" distL="114300" distR="114300" simplePos="0" relativeHeight="251677696" behindDoc="0" locked="0" layoutInCell="1" allowOverlap="1">
            <wp:simplePos x="0" y="0"/>
            <wp:positionH relativeFrom="column">
              <wp:posOffset>2952750</wp:posOffset>
            </wp:positionH>
            <wp:positionV relativeFrom="paragraph">
              <wp:posOffset>2085975</wp:posOffset>
            </wp:positionV>
            <wp:extent cx="2734945" cy="1826260"/>
            <wp:effectExtent l="0" t="0" r="8255" b="2540"/>
            <wp:wrapSquare wrapText="bothSides"/>
            <wp:docPr id="70" name="图片 7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7"/>
                    <pic:cNvPicPr>
                      <a:picLocks noChangeAspect="1"/>
                    </pic:cNvPicPr>
                  </pic:nvPicPr>
                  <pic:blipFill>
                    <a:blip r:embed="rId60"/>
                    <a:stretch>
                      <a:fillRect/>
                    </a:stretch>
                  </pic:blipFill>
                  <pic:spPr>
                    <a:xfrm>
                      <a:off x="0" y="0"/>
                      <a:ext cx="2734945" cy="1826260"/>
                    </a:xfrm>
                    <a:prstGeom prst="rect">
                      <a:avLst/>
                    </a:prstGeom>
                  </pic:spPr>
                </pic:pic>
              </a:graphicData>
            </a:graphic>
          </wp:anchor>
        </w:drawing>
      </w:r>
      <w:r>
        <w:rPr>
          <w:rFonts w:hint="eastAsia"/>
          <w:sz w:val="32"/>
          <w:szCs w:val="40"/>
        </w:rPr>
        <w:drawing>
          <wp:anchor distT="0" distB="0" distL="114300" distR="114300" simplePos="0" relativeHeight="251676672" behindDoc="0" locked="0" layoutInCell="1" allowOverlap="1">
            <wp:simplePos x="0" y="0"/>
            <wp:positionH relativeFrom="column">
              <wp:posOffset>-57150</wp:posOffset>
            </wp:positionH>
            <wp:positionV relativeFrom="paragraph">
              <wp:posOffset>2078355</wp:posOffset>
            </wp:positionV>
            <wp:extent cx="2740660" cy="1828800"/>
            <wp:effectExtent l="0" t="0" r="2540" b="0"/>
            <wp:wrapSquare wrapText="bothSides"/>
            <wp:docPr id="69" name="图片 6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9"/>
                    <pic:cNvPicPr>
                      <a:picLocks noChangeAspect="1"/>
                    </pic:cNvPicPr>
                  </pic:nvPicPr>
                  <pic:blipFill>
                    <a:blip r:embed="rId61"/>
                    <a:stretch>
                      <a:fillRect/>
                    </a:stretch>
                  </pic:blipFill>
                  <pic:spPr>
                    <a:xfrm>
                      <a:off x="0" y="0"/>
                      <a:ext cx="2740660" cy="1828800"/>
                    </a:xfrm>
                    <a:prstGeom prst="rect">
                      <a:avLst/>
                    </a:prstGeom>
                  </pic:spPr>
                </pic:pic>
              </a:graphicData>
            </a:graphic>
          </wp:anchor>
        </w:drawing>
      </w:r>
      <w:r>
        <w:rPr>
          <w:rFonts w:hint="eastAsia" w:eastAsiaTheme="minorEastAsia"/>
          <w:sz w:val="32"/>
          <w:szCs w:val="40"/>
          <w:lang w:eastAsia="zh-CN"/>
        </w:rPr>
        <w:drawing>
          <wp:anchor distT="0" distB="0" distL="114300" distR="114300" simplePos="0" relativeHeight="251675648" behindDoc="0" locked="0" layoutInCell="1" allowOverlap="1">
            <wp:simplePos x="0" y="0"/>
            <wp:positionH relativeFrom="column">
              <wp:posOffset>2943225</wp:posOffset>
            </wp:positionH>
            <wp:positionV relativeFrom="paragraph">
              <wp:posOffset>76200</wp:posOffset>
            </wp:positionV>
            <wp:extent cx="2688590" cy="1795780"/>
            <wp:effectExtent l="0" t="0" r="16510" b="13970"/>
            <wp:wrapSquare wrapText="bothSides"/>
            <wp:docPr id="68" name="图片 6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4"/>
                    <pic:cNvPicPr>
                      <a:picLocks noChangeAspect="1"/>
                    </pic:cNvPicPr>
                  </pic:nvPicPr>
                  <pic:blipFill>
                    <a:blip r:embed="rId62"/>
                    <a:stretch>
                      <a:fillRect/>
                    </a:stretch>
                  </pic:blipFill>
                  <pic:spPr>
                    <a:xfrm>
                      <a:off x="0" y="0"/>
                      <a:ext cx="2688590" cy="1795780"/>
                    </a:xfrm>
                    <a:prstGeom prst="rect">
                      <a:avLst/>
                    </a:prstGeom>
                  </pic:spPr>
                </pic:pic>
              </a:graphicData>
            </a:graphic>
          </wp:anchor>
        </w:drawing>
      </w:r>
      <w:r>
        <w:rPr>
          <w:rFonts w:hint="eastAsia" w:eastAsiaTheme="minorEastAsia"/>
          <w:sz w:val="32"/>
          <w:szCs w:val="40"/>
          <w:lang w:eastAsia="zh-CN"/>
        </w:rPr>
        <w:drawing>
          <wp:anchor distT="0" distB="0" distL="114300" distR="114300" simplePos="0" relativeHeight="251674624" behindDoc="0" locked="0" layoutInCell="1" allowOverlap="1">
            <wp:simplePos x="0" y="0"/>
            <wp:positionH relativeFrom="column">
              <wp:posOffset>-50800</wp:posOffset>
            </wp:positionH>
            <wp:positionV relativeFrom="paragraph">
              <wp:posOffset>80010</wp:posOffset>
            </wp:positionV>
            <wp:extent cx="2727960" cy="1801495"/>
            <wp:effectExtent l="0" t="0" r="15240" b="8255"/>
            <wp:wrapSquare wrapText="bothSides"/>
            <wp:docPr id="67" name="图片 6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5"/>
                    <pic:cNvPicPr>
                      <a:picLocks noChangeAspect="1"/>
                    </pic:cNvPicPr>
                  </pic:nvPicPr>
                  <pic:blipFill>
                    <a:blip r:embed="rId63"/>
                    <a:stretch>
                      <a:fillRect/>
                    </a:stretch>
                  </pic:blipFill>
                  <pic:spPr>
                    <a:xfrm>
                      <a:off x="0" y="0"/>
                      <a:ext cx="2727960" cy="1801495"/>
                    </a:xfrm>
                    <a:prstGeom prst="rect">
                      <a:avLst/>
                    </a:prstGeom>
                  </pic:spPr>
                </pic:pic>
              </a:graphicData>
            </a:graphic>
          </wp:anchor>
        </w:drawing>
      </w:r>
    </w:p>
    <w:p>
      <w:pPr>
        <w:ind w:left="0" w:leftChars="0" w:firstLine="0" w:firstLineChars="0"/>
        <w:rPr>
          <w:sz w:val="32"/>
          <w:szCs w:val="40"/>
        </w:rPr>
        <w:sectPr>
          <w:footerReference r:id="rId3" w:type="default"/>
          <w:pgSz w:w="11906" w:h="16838"/>
          <w:pgMar w:top="1440" w:right="1800" w:bottom="1440" w:left="1800" w:header="851" w:footer="992" w:gutter="0"/>
          <w:pgNumType w:fmt="decimal" w:start="1"/>
          <w:cols w:space="425" w:num="1"/>
          <w:docGrid w:type="lines" w:linePitch="312" w:charSpace="0"/>
        </w:sectPr>
      </w:pPr>
    </w:p>
    <w:tbl>
      <w:tblPr>
        <w:tblStyle w:val="16"/>
        <w:tblW w:w="15072" w:type="dxa"/>
        <w:tblInd w:w="96" w:type="dxa"/>
        <w:tblLayout w:type="autofit"/>
        <w:tblCellMar>
          <w:top w:w="0" w:type="dxa"/>
          <w:left w:w="108" w:type="dxa"/>
          <w:bottom w:w="0" w:type="dxa"/>
          <w:right w:w="108" w:type="dxa"/>
        </w:tblCellMar>
      </w:tblPr>
      <w:tblGrid>
        <w:gridCol w:w="750"/>
        <w:gridCol w:w="736"/>
        <w:gridCol w:w="1269"/>
        <w:gridCol w:w="1216"/>
        <w:gridCol w:w="966"/>
        <w:gridCol w:w="1395"/>
        <w:gridCol w:w="1426"/>
        <w:gridCol w:w="915"/>
        <w:gridCol w:w="816"/>
        <w:gridCol w:w="770"/>
        <w:gridCol w:w="831"/>
        <w:gridCol w:w="768"/>
        <w:gridCol w:w="822"/>
        <w:gridCol w:w="1494"/>
        <w:gridCol w:w="898"/>
      </w:tblGrid>
      <w:tr>
        <w:tblPrEx>
          <w:tblCellMar>
            <w:top w:w="0" w:type="dxa"/>
            <w:left w:w="108" w:type="dxa"/>
            <w:bottom w:w="0" w:type="dxa"/>
            <w:right w:w="108" w:type="dxa"/>
          </w:tblCellMar>
        </w:tblPrEx>
        <w:trPr>
          <w:trHeight w:val="800" w:hRule="atLeast"/>
          <w:tblHeader/>
        </w:trPr>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序号</w:t>
            </w:r>
            <w:r>
              <w:rPr>
                <w:rStyle w:val="21"/>
                <w:rFonts w:eastAsia="宋体"/>
                <w:lang w:bidi="ar"/>
              </w:rPr>
              <w:t>*</w:t>
            </w:r>
          </w:p>
        </w:tc>
        <w:tc>
          <w:tcPr>
            <w:tcW w:w="7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社团代码*</w:t>
            </w:r>
          </w:p>
        </w:tc>
        <w:tc>
          <w:tcPr>
            <w:tcW w:w="12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社团名称（全称）*</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社团类别</w:t>
            </w:r>
            <w:r>
              <w:rPr>
                <w:rStyle w:val="21"/>
                <w:rFonts w:eastAsia="宋体"/>
                <w:lang w:bidi="ar"/>
              </w:rPr>
              <w:t>*</w:t>
            </w:r>
          </w:p>
        </w:tc>
        <w:tc>
          <w:tcPr>
            <w:tcW w:w="37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登记情况</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现有</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成员（人）</w:t>
            </w:r>
            <w:r>
              <w:rPr>
                <w:rStyle w:val="22"/>
                <w:rFonts w:eastAsia="宋体"/>
                <w:lang w:bidi="ar"/>
              </w:rPr>
              <w:t>*</w:t>
            </w:r>
          </w:p>
        </w:tc>
        <w:tc>
          <w:tcPr>
            <w:tcW w:w="15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负责人情况</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活动</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经费（元）</w:t>
            </w:r>
            <w:r>
              <w:rPr>
                <w:rStyle w:val="22"/>
                <w:rFonts w:eastAsia="宋体"/>
                <w:lang w:bidi="ar"/>
              </w:rPr>
              <w:t>*</w:t>
            </w:r>
          </w:p>
        </w:tc>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Style w:val="21"/>
                <w:rFonts w:hint="eastAsia" w:eastAsia="宋体"/>
                <w:lang w:eastAsia="zh-CN" w:bidi="ar"/>
              </w:rPr>
            </w:pPr>
            <w:r>
              <w:rPr>
                <w:rFonts w:hint="eastAsia" w:ascii="宋体" w:hAnsi="宋体" w:eastAsia="宋体" w:cs="宋体"/>
                <w:color w:val="000000"/>
                <w:kern w:val="0"/>
                <w:sz w:val="20"/>
                <w:szCs w:val="20"/>
                <w:lang w:bidi="ar"/>
              </w:rPr>
              <w:t>是否设有学分（学时）</w:t>
            </w:r>
            <w:r>
              <w:rPr>
                <w:rStyle w:val="21"/>
                <w:rFonts w:eastAsia="宋体"/>
                <w:lang w:bidi="ar"/>
              </w:rPr>
              <w:t>*</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Style w:val="23"/>
                <w:rFonts w:hint="default"/>
                <w:lang w:bidi="ar"/>
              </w:rPr>
              <w:t>（请选择）</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Style w:val="21"/>
                <w:rFonts w:hint="eastAsia" w:eastAsia="宋体"/>
                <w:lang w:eastAsia="zh-CN" w:bidi="ar"/>
              </w:rPr>
            </w:pPr>
            <w:r>
              <w:rPr>
                <w:rFonts w:hint="eastAsia" w:ascii="宋体" w:hAnsi="宋体" w:eastAsia="宋体" w:cs="宋体"/>
                <w:color w:val="000000"/>
                <w:kern w:val="0"/>
                <w:sz w:val="20"/>
                <w:szCs w:val="20"/>
                <w:lang w:bidi="ar"/>
              </w:rPr>
              <w:t>是否有获奖项目</w:t>
            </w:r>
            <w:r>
              <w:rPr>
                <w:rStyle w:val="21"/>
                <w:rFonts w:eastAsia="宋体"/>
                <w:lang w:bidi="ar"/>
              </w:rPr>
              <w:t>*</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Style w:val="23"/>
                <w:rFonts w:hint="default"/>
                <w:lang w:bidi="ar"/>
              </w:rPr>
              <w:t>（请选择）</w:t>
            </w:r>
          </w:p>
        </w:tc>
        <w:tc>
          <w:tcPr>
            <w:tcW w:w="14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学校指导部门</w:t>
            </w:r>
            <w:r>
              <w:rPr>
                <w:rStyle w:val="21"/>
                <w:rFonts w:eastAsia="宋体"/>
                <w:lang w:bidi="ar"/>
              </w:rPr>
              <w:t>*</w:t>
            </w:r>
          </w:p>
        </w:tc>
        <w:tc>
          <w:tcPr>
            <w:tcW w:w="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指导教师名单</w:t>
            </w:r>
            <w:r>
              <w:rPr>
                <w:rStyle w:val="21"/>
                <w:rFonts w:eastAsia="宋体"/>
                <w:lang w:bidi="ar"/>
              </w:rPr>
              <w:t>*</w:t>
            </w:r>
          </w:p>
        </w:tc>
      </w:tr>
      <w:tr>
        <w:tblPrEx>
          <w:tblCellMar>
            <w:top w:w="0" w:type="dxa"/>
            <w:left w:w="108" w:type="dxa"/>
            <w:bottom w:w="0" w:type="dxa"/>
            <w:right w:w="108" w:type="dxa"/>
          </w:tblCellMar>
        </w:tblPrEx>
        <w:trPr>
          <w:trHeight w:val="800" w:hRule="atLeast"/>
          <w:tblHeader/>
        </w:trPr>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c>
          <w:tcPr>
            <w:tcW w:w="7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c>
          <w:tcPr>
            <w:tcW w:w="12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登记日期（年月）</w:t>
            </w:r>
            <w:r>
              <w:rPr>
                <w:rStyle w:val="21"/>
                <w:rFonts w:eastAsia="宋体"/>
                <w:lang w:bidi="ar"/>
              </w:rPr>
              <w:t>*</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批准单位（部门）（全称）*</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注册单位</w:t>
            </w:r>
            <w:r>
              <w:rPr>
                <w:rStyle w:val="21"/>
                <w:rFonts w:eastAsia="宋体"/>
                <w:lang w:bidi="ar"/>
              </w:rPr>
              <w:t>*</w:t>
            </w: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姓名</w:t>
            </w:r>
            <w:r>
              <w:rPr>
                <w:rStyle w:val="21"/>
                <w:rFonts w:eastAsia="宋体"/>
                <w:lang w:bidi="ar"/>
              </w:rPr>
              <w:t>*</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所在年级</w:t>
            </w:r>
            <w:r>
              <w:rPr>
                <w:rStyle w:val="21"/>
                <w:rFonts w:eastAsia="宋体"/>
                <w:lang w:bidi="ar"/>
              </w:rPr>
              <w:t>*</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c>
          <w:tcPr>
            <w:tcW w:w="14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c>
          <w:tcPr>
            <w:tcW w:w="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青年志愿者服务队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宣传服务类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199109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杨光珍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周婉</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尚美礼仪社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宣传服务类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201209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袁佳玲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林茹曼</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摄影社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专业术科类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201109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罗家乐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郑文焕</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JNY动漫社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专业术科类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201209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卢漫旎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周婉</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会计社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专业术科类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201209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黄琳希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林伟生</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电商社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专业术科类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201209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林梓泰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吴莹</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馨音外语社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专业术科类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201409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黄晓萍</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美术社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专业术科类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201509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许梓涵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张金贤</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009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艺厨烹饪社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专业术科类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201609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何思其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郑文焕</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望晓文艺学社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198909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邹家学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陈杰娜</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口才社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201009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钟晓桦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李妙霞</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keep style</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街舞社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201009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林欣妮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李东琪</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古筝社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201109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黄妍纯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黄梓怡</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吉他社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201209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高冰鑫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杨庆禧</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百灵鸟主持人社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201509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林灿鑫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林洁珠</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color w:val="000000"/>
                <w:kern w:val="0"/>
                <w:sz w:val="20"/>
                <w:szCs w:val="20"/>
                <w:lang w:eastAsia="zh-CN" w:bidi="ar"/>
              </w:rPr>
            </w:pPr>
            <w:r>
              <w:rPr>
                <w:rFonts w:hint="eastAsia" w:ascii="宋体" w:hAnsi="宋体" w:eastAsia="宋体" w:cs="宋体"/>
                <w:color w:val="000000"/>
                <w:kern w:val="0"/>
                <w:sz w:val="20"/>
                <w:szCs w:val="20"/>
                <w:lang w:bidi="ar"/>
              </w:rPr>
              <w:t>Hey music</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音乐社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201609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杨涌凯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钟小航</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恒毅武术社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体育武术类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200809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林溥扬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何舒畅</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望晓羽毛球队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体育武术类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201409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姚家宇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吴曼榕</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019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灌风篮球社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体育武术类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201509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蔡泽畴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辜泽栋</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兵乓球社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体育武术类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201609</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林昊岚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黄伟楠</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龙狮社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体育武术类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201610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林烨昊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辜泽栋</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惊天魔术师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201610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黄海青</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火翎毽子社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体育武术类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201610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林昊岚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黄诲青</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文蕴国语社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201710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刘佳慧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林洁珠</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汽修协会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专业术科类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201710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林伟林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方初升</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悟方书法社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201710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黄思漫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吴榕华</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足球社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体育武术类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201710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陈蓓楷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何舒畅</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阳光法律沙龙小组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201710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黄婉宜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林壁芬</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029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美妆兴趣小组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文学艺术类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201710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陈思敏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林洁珠</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030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跆拳道社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体育武术类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201710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黄浩钦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黄伟楠</w:t>
            </w:r>
          </w:p>
        </w:tc>
      </w:tr>
      <w:tr>
        <w:tblPrEx>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031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轮滑兴趣小组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体育武术类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202110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1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周俊生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否</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揭阳捷和职业技术学校团委会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程启纯</w:t>
            </w:r>
          </w:p>
        </w:tc>
      </w:tr>
    </w:tbl>
    <w:p>
      <w:pPr>
        <w:rPr>
          <w:sz w:val="32"/>
          <w:szCs w:val="40"/>
        </w:rPr>
      </w:pPr>
      <w:r>
        <w:rPr>
          <w:sz w:val="32"/>
          <w:szCs w:val="40"/>
        </w:rPr>
        <w:br w:type="page"/>
      </w:r>
    </w:p>
    <w:p>
      <w:pPr>
        <w:ind w:firstLine="640" w:firstLineChars="200"/>
        <w:rPr>
          <w:sz w:val="32"/>
          <w:szCs w:val="40"/>
        </w:rPr>
        <w:sectPr>
          <w:pgSz w:w="16838" w:h="11906" w:orient="landscape"/>
          <w:pgMar w:top="1701" w:right="1134" w:bottom="1701" w:left="1134" w:header="851" w:footer="992" w:gutter="0"/>
          <w:pgNumType w:fmt="decimal"/>
          <w:cols w:space="0" w:num="1"/>
          <w:docGrid w:type="lines" w:linePitch="332" w:charSpace="0"/>
        </w:sectPr>
      </w:pP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专业术科类社团、文学艺术类社团、体育武术类社团较多，共占社团的93.5%，而宣传服务类的社团相对较少，一定程度的映射出了当代高中生对于发展自身兴趣爱好的渴望。</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部分学生对于社团的关注度以及热情程度不够，调查显示有26.42%的同学认为社团活动较少，且质量有待提高。绝大多数学生最开始是以兴趣为选择标准来报名社团，超过85%的同学认为所选社团符合自己的兴趣，但是22%的同学觉得自己在社团中并没有发挥出相应的作用，53.77%的同学认为自己在社团的作用较小。</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接下来我们将加大对各社团社员的关注，加大对社员的培养力度，优化社团制度和管理，使社员不仅在社团里能够发展自己的兴趣爱好，还能学习到其他的知识，为社员们的未来发展打好基础。</w:t>
      </w:r>
    </w:p>
    <w:p>
      <w:pPr>
        <w:pStyle w:val="3"/>
        <w:numPr>
          <w:ilvl w:val="0"/>
          <w:numId w:val="7"/>
        </w:numPr>
        <w:bidi w:val="0"/>
        <w:ind w:left="60" w:leftChars="0" w:firstLine="420" w:firstLineChars="0"/>
        <w:rPr>
          <w:rFonts w:hint="eastAsia" w:ascii="Arial" w:hAnsi="Arial"/>
          <w:b/>
          <w:lang w:val="en-US" w:eastAsia="zh-CN"/>
        </w:rPr>
      </w:pPr>
      <w:bookmarkStart w:id="17" w:name="_Toc3754"/>
      <w:r>
        <w:rPr>
          <w:rFonts w:hint="eastAsia" w:ascii="Arial" w:hAnsi="Arial"/>
          <w:b/>
          <w:lang w:val="en-US" w:eastAsia="zh-CN"/>
        </w:rPr>
        <w:t>学生在校体验</w:t>
      </w:r>
      <w:bookmarkEnd w:id="17"/>
    </w:p>
    <w:p>
      <w:pPr>
        <w:pStyle w:val="4"/>
        <w:numPr>
          <w:ilvl w:val="0"/>
          <w:numId w:val="17"/>
        </w:numPr>
        <w:bidi w:val="0"/>
        <w:ind w:left="425" w:leftChars="0" w:firstLine="53" w:firstLineChars="19"/>
      </w:pPr>
      <w:r>
        <w:rPr>
          <w:rFonts w:hint="eastAsia"/>
        </w:rPr>
        <w:t>学生的满意度</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经调查，学校在校生对班主任的带班满意度达到100%，各班主任老师带班期间对班级的学生负责，学生遵循学校校规和班级班规，班主任平时也对学生在校生活和家庭情况进行了解，为学生的学业、毕业做好规划。</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学生对教学评价满意度达到96.2%。全体教师教学认真，根据本课程知识结构的特点，授课内容详细重点突出，层次分明，课堂效率高，学生普遍能跟着老师思路学习，气氛活跃，课堂收获丰硕。</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学生对生活教官的满意也达到99.8%，其中大部分学生对教官的内宿严格管理非常满意，生活教官对在校内宿生各方面的安全负责，通过有规划的内宿生活，使内宿学生的作息等方面形成一个良好的生活习惯。</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学生对社团活动的满意度也达到92.3%，其中大部分学生对社团活动非常满意，认为学校社团活动为课余生活增添了很多色彩和活力，使得在校生活更加丰富多彩。</w:t>
      </w:r>
    </w:p>
    <w:p>
      <w:pPr>
        <w:pStyle w:val="4"/>
        <w:numPr>
          <w:ilvl w:val="0"/>
          <w:numId w:val="17"/>
        </w:numPr>
        <w:bidi w:val="0"/>
        <w:ind w:left="425" w:leftChars="0" w:firstLine="53" w:firstLineChars="19"/>
        <w:rPr>
          <w:rFonts w:hint="eastAsia"/>
        </w:rPr>
      </w:pPr>
      <w:bookmarkStart w:id="18" w:name="_Toc472000948"/>
      <w:bookmarkStart w:id="19" w:name="_Toc29995119"/>
      <w:bookmarkStart w:id="20" w:name="_Toc13888"/>
      <w:bookmarkStart w:id="21" w:name="_Toc505003768"/>
      <w:r>
        <w:rPr>
          <w:rFonts w:hint="eastAsia"/>
        </w:rPr>
        <w:t>毕业生</w:t>
      </w:r>
      <w:bookmarkEnd w:id="18"/>
      <w:bookmarkEnd w:id="19"/>
      <w:bookmarkEnd w:id="20"/>
      <w:bookmarkEnd w:id="21"/>
      <w:r>
        <w:rPr>
          <w:rFonts w:hint="eastAsia"/>
        </w:rPr>
        <w:t>评价</w:t>
      </w:r>
    </w:p>
    <w:p>
      <w:pPr>
        <w:spacing w:line="360" w:lineRule="auto"/>
        <w:ind w:firstLine="480" w:firstLineChars="200"/>
        <w:rPr>
          <w:rFonts w:hint="eastAsia" w:ascii="宋体" w:hAnsi="宋体" w:eastAsia="宋体" w:cs="宋体"/>
          <w:color w:val="000000"/>
          <w:sz w:val="24"/>
        </w:rPr>
      </w:pPr>
      <w:bookmarkStart w:id="22" w:name="_Toc29995120"/>
      <w:bookmarkStart w:id="23" w:name="_Toc472000949"/>
      <w:bookmarkStart w:id="24" w:name="_Toc505003769"/>
      <w:r>
        <w:rPr>
          <w:rFonts w:hint="eastAsia" w:ascii="宋体" w:hAnsi="宋体" w:eastAsia="宋体" w:cs="宋体"/>
          <w:color w:val="000000"/>
          <w:sz w:val="24"/>
        </w:rPr>
        <w:t>根据对2021届毕业生就业状况调查，无法评估为29人，不满意为81人，比较满意为441人，满意为270人，非常满意为45人。从问卷调查结果显示，学生对学校的实习指导、就业指导工作较为满意。</w:t>
      </w:r>
    </w:p>
    <w:bookmarkEnd w:id="22"/>
    <w:bookmarkEnd w:id="23"/>
    <w:bookmarkEnd w:id="24"/>
    <w:p>
      <w:pPr>
        <w:pStyle w:val="4"/>
        <w:numPr>
          <w:ilvl w:val="0"/>
          <w:numId w:val="17"/>
        </w:numPr>
        <w:bidi w:val="0"/>
        <w:ind w:left="425" w:leftChars="0" w:firstLine="53" w:firstLineChars="19"/>
        <w:rPr>
          <w:rFonts w:hint="eastAsia"/>
        </w:rPr>
      </w:pPr>
      <w:r>
        <w:rPr>
          <w:rFonts w:hint="eastAsia"/>
        </w:rPr>
        <w:t>用人单位评价情况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生顶岗实习的平均薪酬为2000元、合作企业接收学生实习比例为75%、用人单位对学校2021届毕业生素质和能力结构的满意度调查数据显示，用人单位对毕业生最高的评价仍然是优秀，平均为96分，其次是良好，第三是称职。用人单位对毕业生的评价较高，已连续三年毕业生称职率达96%以上。与2020届毕业生总体评价相较，学生的就业素养，职业技能都有所提升，综上所述，2021届毕业生优良率进一步有所提升。</w:t>
      </w:r>
    </w:p>
    <w:p>
      <w:pPr>
        <w:spacing w:line="360" w:lineRule="auto"/>
        <w:ind w:firstLine="480" w:firstLineChars="200"/>
        <w:rPr>
          <w:rFonts w:hint="eastAsia" w:ascii="宋体" w:hAnsi="宋体" w:eastAsia="宋体" w:cs="宋体"/>
          <w:color w:val="000000"/>
          <w:sz w:val="24"/>
        </w:rPr>
        <w:sectPr>
          <w:pgSz w:w="11906" w:h="16838"/>
          <w:pgMar w:top="1134" w:right="1803" w:bottom="1134" w:left="1803" w:header="851" w:footer="992" w:gutter="0"/>
          <w:pgNumType w:fmt="decimal"/>
          <w:cols w:space="0" w:num="1"/>
          <w:docGrid w:type="lines" w:linePitch="332" w:charSpace="0"/>
        </w:sectPr>
      </w:pPr>
    </w:p>
    <w:p>
      <w:pPr>
        <w:pStyle w:val="2"/>
        <w:bidi w:val="0"/>
        <w:ind w:left="60" w:leftChars="0" w:firstLine="420" w:firstLineChars="0"/>
        <w:rPr>
          <w:rFonts w:hint="eastAsia"/>
          <w:b/>
          <w:lang w:val="en-US" w:eastAsia="zh-CN"/>
        </w:rPr>
      </w:pPr>
      <w:bookmarkStart w:id="25" w:name="_Toc26608"/>
      <w:r>
        <w:rPr>
          <w:rFonts w:hint="eastAsia"/>
          <w:b/>
          <w:lang w:val="en-US" w:eastAsia="zh-CN"/>
        </w:rPr>
        <w:t>教学改革</w:t>
      </w:r>
      <w:bookmarkEnd w:id="25"/>
    </w:p>
    <w:p>
      <w:pPr>
        <w:pStyle w:val="3"/>
        <w:numPr>
          <w:ilvl w:val="0"/>
          <w:numId w:val="18"/>
        </w:numPr>
        <w:bidi w:val="0"/>
        <w:ind w:left="60" w:leftChars="0" w:firstLine="420" w:firstLineChars="0"/>
        <w:rPr>
          <w:rFonts w:hint="eastAsia"/>
          <w:b/>
          <w:lang w:val="en-US" w:eastAsia="zh-CN"/>
        </w:rPr>
      </w:pPr>
      <w:bookmarkStart w:id="26" w:name="_Toc24014"/>
      <w:r>
        <w:rPr>
          <w:rFonts w:hint="eastAsia"/>
          <w:b/>
          <w:lang w:val="en-US" w:eastAsia="zh-CN"/>
        </w:rPr>
        <w:t>公共基础课的改革</w:t>
      </w:r>
      <w:bookmarkEnd w:id="26"/>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贯彻党的教育方针，全面贯彻落实全国职业教育大会精神，深化＂三教＂改革，提高教师的专业素养、教学能力和课堂教学效果，提升学校教学质量，推动高水平学校建设。本学期学校结合《榕城区“让教学更有效”课堂变革三年（2020-2023年）行动计划实施意见》[揭榕教研(2020)56号]文件精神，开展推门听课活动。</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2021年4月下旬，榕城区教育局副局长宋壮明、教研室主任刘松辉带领区教育局教研室专家一行8人莅临揭阳捷和职业技术学校开展课堂教学督导调研。</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学校教学主阵地在课堂，提高每一堂课的质量，是教师追求的目标，本次教研活动聚焦课堂，提质增效，“强内基、树形象、提品质”，为进一步提高学校教学质量奠定了坚实基础。</w:t>
      </w: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cs="宋体"/>
          <w:color w:val="000000"/>
          <w:kern w:val="0"/>
          <w:sz w:val="24"/>
        </w:rPr>
      </w:pPr>
    </w:p>
    <w:p>
      <w:pPr>
        <w:spacing w:line="360" w:lineRule="auto"/>
        <w:ind w:firstLine="480" w:firstLineChars="200"/>
        <w:rPr>
          <w:rFonts w:hint="eastAsia" w:ascii="宋体" w:hAnsi="宋体" w:eastAsia="宋体" w:cs="宋体"/>
          <w:color w:val="000000"/>
          <w:sz w:val="24"/>
        </w:rPr>
      </w:pPr>
      <w:r>
        <w:rPr>
          <w:rFonts w:hint="eastAsia" w:ascii="宋体" w:hAnsi="宋体" w:cs="宋体"/>
          <w:color w:val="000000"/>
          <w:kern w:val="0"/>
          <w:sz w:val="24"/>
        </w:rPr>
        <w:t>榕城区教育局教研室领导专家莅校进行课堂教学督导调研安排表（2021.04.27）</w:t>
      </w:r>
    </w:p>
    <w:tbl>
      <w:tblPr>
        <w:tblStyle w:val="16"/>
        <w:tblpPr w:leftFromText="180" w:rightFromText="180" w:vertAnchor="text" w:horzAnchor="page" w:tblpX="1031" w:tblpY="794"/>
        <w:tblOverlap w:val="never"/>
        <w:tblW w:w="10624" w:type="dxa"/>
        <w:tblInd w:w="0" w:type="dxa"/>
        <w:tblLayout w:type="autofit"/>
        <w:tblCellMar>
          <w:top w:w="0" w:type="dxa"/>
          <w:left w:w="108" w:type="dxa"/>
          <w:bottom w:w="0" w:type="dxa"/>
          <w:right w:w="108" w:type="dxa"/>
        </w:tblCellMar>
      </w:tblPr>
      <w:tblGrid>
        <w:gridCol w:w="916"/>
        <w:gridCol w:w="1116"/>
        <w:gridCol w:w="896"/>
        <w:gridCol w:w="896"/>
        <w:gridCol w:w="896"/>
        <w:gridCol w:w="896"/>
        <w:gridCol w:w="896"/>
        <w:gridCol w:w="896"/>
        <w:gridCol w:w="896"/>
        <w:gridCol w:w="528"/>
        <w:gridCol w:w="896"/>
        <w:gridCol w:w="896"/>
      </w:tblGrid>
      <w:tr>
        <w:tblPrEx>
          <w:tblCellMar>
            <w:top w:w="0" w:type="dxa"/>
            <w:left w:w="108" w:type="dxa"/>
            <w:bottom w:w="0" w:type="dxa"/>
            <w:right w:w="108" w:type="dxa"/>
          </w:tblCellMar>
        </w:tblPrEx>
        <w:trPr>
          <w:trHeight w:val="360" w:hRule="atLeast"/>
        </w:trPr>
        <w:tc>
          <w:tcPr>
            <w:tcW w:w="9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活动   项目</w:t>
            </w: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时间</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科目</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上课  教师</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班级</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上课地点</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听课带队老师</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参与听课教师</w:t>
            </w:r>
          </w:p>
        </w:tc>
        <w:tc>
          <w:tcPr>
            <w:tcW w:w="1424"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协调</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总协调</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备注</w:t>
            </w:r>
          </w:p>
        </w:tc>
      </w:tr>
      <w:tr>
        <w:tblPrEx>
          <w:tblCellMar>
            <w:top w:w="0" w:type="dxa"/>
            <w:left w:w="108" w:type="dxa"/>
            <w:bottom w:w="0" w:type="dxa"/>
            <w:right w:w="108" w:type="dxa"/>
          </w:tblCellMar>
        </w:tblPrEx>
        <w:trPr>
          <w:trHeight w:val="830" w:hRule="atLeast"/>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第9周星期二（4月27日）</w:t>
            </w: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1424"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r>
      <w:tr>
        <w:tblPrEx>
          <w:tblCellMar>
            <w:top w:w="0" w:type="dxa"/>
            <w:left w:w="108" w:type="dxa"/>
            <w:bottom w:w="0" w:type="dxa"/>
            <w:right w:w="108" w:type="dxa"/>
          </w:tblCellMar>
        </w:tblPrEx>
        <w:trPr>
          <w:trHeight w:val="1110" w:hRule="atLeast"/>
        </w:trPr>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检查教案、作业</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8：10-8:50  </w:t>
            </w:r>
          </w:p>
        </w:tc>
        <w:tc>
          <w:tcPr>
            <w:tcW w:w="8592"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地点:阳明楼三楼会议室</w:t>
            </w:r>
          </w:p>
        </w:tc>
      </w:tr>
      <w:tr>
        <w:tblPrEx>
          <w:tblCellMar>
            <w:top w:w="0" w:type="dxa"/>
            <w:left w:w="108" w:type="dxa"/>
            <w:bottom w:w="0" w:type="dxa"/>
            <w:right w:w="108" w:type="dxa"/>
          </w:tblCellMar>
        </w:tblPrEx>
        <w:trPr>
          <w:trHeight w:val="780" w:hRule="atLeast"/>
        </w:trPr>
        <w:tc>
          <w:tcPr>
            <w:tcW w:w="9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听课</w:t>
            </w:r>
          </w:p>
        </w:tc>
        <w:tc>
          <w:tcPr>
            <w:tcW w:w="11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第二节（9：00-9:40）    </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德育（职业道德)</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陈尔敏</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20级电商（5）班</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20级电商（5）班教室</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魏薇     谢娜娟</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各年级没课的德育教师</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陈同坤</w:t>
            </w:r>
          </w:p>
        </w:tc>
        <w:tc>
          <w:tcPr>
            <w:tcW w:w="528" w:type="dxa"/>
            <w:vMerge w:val="restart"/>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袁文钦</w:t>
            </w:r>
          </w:p>
        </w:tc>
        <w:tc>
          <w:tcPr>
            <w:tcW w:w="896" w:type="dxa"/>
            <w:vMerge w:val="restart"/>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卢文升</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带队及参与听课老师于当天上午8:30到阳明楼三楼会议室迎接领导、专家，并负责带到听课地点。</w:t>
            </w:r>
          </w:p>
        </w:tc>
      </w:tr>
      <w:tr>
        <w:tblPrEx>
          <w:tblCellMar>
            <w:top w:w="0" w:type="dxa"/>
            <w:left w:w="108" w:type="dxa"/>
            <w:bottom w:w="0" w:type="dxa"/>
            <w:right w:w="108" w:type="dxa"/>
          </w:tblCellMar>
        </w:tblPrEx>
        <w:trPr>
          <w:trHeight w:val="870" w:hRule="atLeast"/>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德育（职业道德)</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魏晓萍</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20级烹饪（17）班</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20级烹饪（17）班班教室</w:t>
            </w: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佘燕杰</w:t>
            </w:r>
          </w:p>
        </w:tc>
        <w:tc>
          <w:tcPr>
            <w:tcW w:w="52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r>
      <w:tr>
        <w:tblPrEx>
          <w:tblCellMar>
            <w:top w:w="0" w:type="dxa"/>
            <w:left w:w="108" w:type="dxa"/>
            <w:bottom w:w="0" w:type="dxa"/>
            <w:right w:w="108" w:type="dxa"/>
          </w:tblCellMar>
        </w:tblPrEx>
        <w:trPr>
          <w:trHeight w:val="1120" w:hRule="atLeast"/>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语文</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陈杰娜</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19级（10）（11）合班</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19级（10）（11）合班教室</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谢静辉  朱茹贤</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各年级没课的语文教师</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陈锦裕</w:t>
            </w:r>
          </w:p>
        </w:tc>
        <w:tc>
          <w:tcPr>
            <w:tcW w:w="52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r>
      <w:tr>
        <w:tblPrEx>
          <w:tblCellMar>
            <w:top w:w="0" w:type="dxa"/>
            <w:left w:w="108" w:type="dxa"/>
            <w:bottom w:w="0" w:type="dxa"/>
            <w:right w:w="108" w:type="dxa"/>
          </w:tblCellMar>
        </w:tblPrEx>
        <w:trPr>
          <w:trHeight w:val="1080" w:hRule="atLeast"/>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语文</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杨秀敏</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20级学前教育（21）班</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20级学前教育（21）班教室</w:t>
            </w: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夏广通</w:t>
            </w:r>
          </w:p>
        </w:tc>
        <w:tc>
          <w:tcPr>
            <w:tcW w:w="52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r>
      <w:tr>
        <w:tblPrEx>
          <w:tblCellMar>
            <w:top w:w="0" w:type="dxa"/>
            <w:left w:w="108" w:type="dxa"/>
            <w:bottom w:w="0" w:type="dxa"/>
            <w:right w:w="108" w:type="dxa"/>
          </w:tblCellMar>
        </w:tblPrEx>
        <w:trPr>
          <w:trHeight w:val="880" w:hRule="atLeast"/>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数学</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林柔</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19级电商（4）班</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19级电商（4）班教室</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许佩芳  黄洁銮</w:t>
            </w:r>
          </w:p>
        </w:tc>
        <w:tc>
          <w:tcPr>
            <w:tcW w:w="89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各年级没课的数学教师</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陈同坤</w:t>
            </w:r>
          </w:p>
        </w:tc>
        <w:tc>
          <w:tcPr>
            <w:tcW w:w="52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r>
      <w:tr>
        <w:tblPrEx>
          <w:tblCellMar>
            <w:top w:w="0" w:type="dxa"/>
            <w:left w:w="108" w:type="dxa"/>
            <w:bottom w:w="0" w:type="dxa"/>
            <w:right w:w="108" w:type="dxa"/>
          </w:tblCellMar>
        </w:tblPrEx>
        <w:trPr>
          <w:trHeight w:val="870" w:hRule="atLeast"/>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数学</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何郁群</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19级高职（4）班</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19级高职（4）班教室</w:t>
            </w: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佘燕杰</w:t>
            </w:r>
          </w:p>
        </w:tc>
        <w:tc>
          <w:tcPr>
            <w:tcW w:w="52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r>
      <w:tr>
        <w:tblPrEx>
          <w:tblCellMar>
            <w:top w:w="0" w:type="dxa"/>
            <w:left w:w="108" w:type="dxa"/>
            <w:bottom w:w="0" w:type="dxa"/>
            <w:right w:w="108" w:type="dxa"/>
          </w:tblCellMar>
        </w:tblPrEx>
        <w:trPr>
          <w:trHeight w:val="1070" w:hRule="atLeast"/>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英语</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陈洁仪</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20级动漫（2）班</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20级动漫（2）班教室</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郭丽华</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各年级没课的英语教师</w:t>
            </w:r>
          </w:p>
        </w:tc>
        <w:tc>
          <w:tcPr>
            <w:tcW w:w="8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陈同坤</w:t>
            </w:r>
          </w:p>
        </w:tc>
        <w:tc>
          <w:tcPr>
            <w:tcW w:w="52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9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r>
      <w:tr>
        <w:tblPrEx>
          <w:tblCellMar>
            <w:top w:w="0" w:type="dxa"/>
            <w:left w:w="108" w:type="dxa"/>
            <w:bottom w:w="0" w:type="dxa"/>
            <w:right w:w="108" w:type="dxa"/>
          </w:tblCellMar>
        </w:tblPrEx>
        <w:trPr>
          <w:trHeight w:val="780" w:hRule="atLeast"/>
        </w:trPr>
        <w:tc>
          <w:tcPr>
            <w:tcW w:w="9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评课</w:t>
            </w:r>
          </w:p>
        </w:tc>
        <w:tc>
          <w:tcPr>
            <w:tcW w:w="11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xml:space="preserve">9：40-10:30    </w:t>
            </w:r>
          </w:p>
        </w:tc>
        <w:tc>
          <w:tcPr>
            <w:tcW w:w="8592"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地点：德育——阳明楼三楼会议室   语文——教务科   数学——学生科   英语——办公室</w:t>
            </w:r>
          </w:p>
        </w:tc>
      </w:tr>
      <w:tr>
        <w:tblPrEx>
          <w:tblCellMar>
            <w:top w:w="0" w:type="dxa"/>
            <w:left w:w="108" w:type="dxa"/>
            <w:bottom w:w="0" w:type="dxa"/>
            <w:right w:w="108" w:type="dxa"/>
          </w:tblCellMar>
        </w:tblPrEx>
        <w:trPr>
          <w:trHeight w:val="390" w:hRule="atLeast"/>
        </w:trPr>
        <w:tc>
          <w:tcPr>
            <w:tcW w:w="9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反馈会</w:t>
            </w:r>
          </w:p>
        </w:tc>
        <w:tc>
          <w:tcPr>
            <w:tcW w:w="11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第9周星期二（4月27日）10:30</w:t>
            </w:r>
          </w:p>
        </w:tc>
        <w:tc>
          <w:tcPr>
            <w:tcW w:w="8592"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内容：1.学校汇报开展教学教研情况 ；2.教学调研情况反馈。</w:t>
            </w:r>
          </w:p>
        </w:tc>
      </w:tr>
      <w:tr>
        <w:tblPrEx>
          <w:tblCellMar>
            <w:top w:w="0" w:type="dxa"/>
            <w:left w:w="108" w:type="dxa"/>
            <w:bottom w:w="0" w:type="dxa"/>
            <w:right w:w="108" w:type="dxa"/>
          </w:tblCellMar>
        </w:tblPrEx>
        <w:trPr>
          <w:trHeight w:val="1070" w:hRule="atLeast"/>
        </w:trPr>
        <w:tc>
          <w:tcPr>
            <w:tcW w:w="9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11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000000"/>
                <w:kern w:val="0"/>
                <w:sz w:val="18"/>
                <w:szCs w:val="18"/>
              </w:rPr>
            </w:pPr>
          </w:p>
        </w:tc>
        <w:tc>
          <w:tcPr>
            <w:tcW w:w="8592"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地点：阳明楼三楼会议室。参与人员：教务部门行政人员及专业部部长，德育、语文、数学、英语教研组长及四个学科没课的教师。</w:t>
            </w:r>
          </w:p>
        </w:tc>
      </w:tr>
    </w:tbl>
    <w:p>
      <w:pPr>
        <w:rPr>
          <w:rFonts w:hint="eastAsia"/>
          <w:lang w:val="en-US" w:eastAsia="zh-CN"/>
        </w:rPr>
      </w:pPr>
    </w:p>
    <w:p>
      <w:pPr>
        <w:pStyle w:val="3"/>
        <w:numPr>
          <w:ilvl w:val="0"/>
          <w:numId w:val="18"/>
        </w:numPr>
        <w:bidi w:val="0"/>
        <w:ind w:left="60" w:leftChars="0" w:firstLine="420" w:firstLineChars="0"/>
        <w:rPr>
          <w:rFonts w:hint="eastAsia"/>
          <w:b/>
          <w:lang w:val="en-US" w:eastAsia="zh-CN"/>
        </w:rPr>
      </w:pPr>
      <w:bookmarkStart w:id="27" w:name="_Toc6098"/>
      <w:r>
        <w:rPr>
          <w:rFonts w:hint="eastAsia"/>
          <w:b/>
          <w:lang w:val="en-US" w:eastAsia="zh-CN"/>
        </w:rPr>
        <w:t>专业教学改革</w:t>
      </w:r>
      <w:bookmarkEnd w:id="27"/>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结合学校的技能艺术节活动，开展了丰富多彩的第二课堂和竞赛活动，以赛促教、以赛促学、以赛促改，提升学生技能水平、培育工匠精神，提高教育教学质量。</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2021年技能艺术节节目丰富多彩，各专业部及教务科、团委会开展的竞赛项目总共39项，分别是：庆祝建党100周年手抄报比赛、庆祝建党100周年书法比赛、庆祝建党100周年朗诵比赛、挑战高考数学我行比赛、英语手抄报比赛、英文歌唱比赛、足球赛、20级广播操比赛、钢琴比赛、舞蹈比赛、器乐比赛、声乐比赛、企业经营（沙盘模拟）比赛、点钞比赛、翻打传票比赛、电算化比赛、刀工比赛、热菜比赛、中点比赛、西点比赛、雕刻比赛、普车加工比赛、CAD绘图比赛、2021年动漫作品展作品征集、二维动画设计与制作比赛、小报比赛、电子商务知识竞赛、短视频制作竞赛、班徽设计赛、机械制图比赛、电力拖动比赛、电子元件测量比赛、电子装配比赛、电子基础理论知识竞赛、单片机比赛、主题辩论赛、征文演讲比赛、红歌比赛、摄影比赛。各种活动的开展，进一步提高了学生的专业技能水平和综合素质。</w:t>
      </w:r>
    </w:p>
    <w:p>
      <w:pPr>
        <w:pStyle w:val="3"/>
        <w:numPr>
          <w:ilvl w:val="0"/>
          <w:numId w:val="18"/>
        </w:numPr>
        <w:bidi w:val="0"/>
        <w:ind w:left="60" w:leftChars="0" w:firstLine="420" w:firstLineChars="0"/>
        <w:rPr>
          <w:rFonts w:hint="eastAsia"/>
          <w:b/>
          <w:lang w:val="en-US" w:eastAsia="zh-CN"/>
        </w:rPr>
      </w:pPr>
      <w:bookmarkStart w:id="28" w:name="_Toc29916"/>
      <w:r>
        <w:rPr>
          <w:rFonts w:hint="eastAsia"/>
          <w:b/>
          <w:lang w:val="en-US" w:eastAsia="zh-CN"/>
        </w:rPr>
        <w:t>强化师资队伍建设情况</w:t>
      </w:r>
      <w:bookmarkEnd w:id="28"/>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目前教职员工额定编制数为187人，目前在编在职184人；专任教师179人，较上一学年度专任教师153人，增加了26人；在2020至2021学年度全日制在校生人数3028人，相较上一学年度3196人减少了168人。生师比也由上一学年度的1：:20.89上升到1：16.91。“双师型”师资达到了109人。</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目前公共文化课是学校专门推动强化的一项教学内容，特别是在意识形态、美育体育等方面，学校大力打造，强化该部分师资队伍的建设。现有思想政治课专任教师10人，体育课专任教师数11人，美育课专任教师数20人。</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另外学校还加强了专业师资队伍的建设，具体做到：</w:t>
      </w:r>
    </w:p>
    <w:p>
      <w:pPr>
        <w:pStyle w:val="4"/>
        <w:numPr>
          <w:ilvl w:val="0"/>
          <w:numId w:val="19"/>
        </w:numPr>
        <w:bidi w:val="0"/>
        <w:ind w:left="425" w:leftChars="0" w:firstLine="53" w:firstLineChars="19"/>
        <w:rPr>
          <w:rFonts w:hint="eastAsia"/>
        </w:rPr>
      </w:pPr>
      <w:r>
        <w:rPr>
          <w:rFonts w:hint="eastAsia"/>
        </w:rPr>
        <w:t>加强教师队伍建设，打造“双师型”教师队伍</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努力创造条件，加大力度，多形式多层次加强教师队伍建设，特别是“双师型”专业教师、骨干教师、教学名师和新教师队伍建设。实行“1+N”教师培养模式，加强对新教师的培养培训，其中1是指校本培训，N是指区、市、省、国培养培训和参加企业实践。通过培养培训，尽快提高新教师的职业适应能力，以适用现代职业教育的要求。通过教学名师和引进企业能工巧匠，加强对学科带头人、青年教师的培养。同时，加强师德师风建设，学习贯彻教师职业行为准则，使全体教师自觉做以德立身、以德立学、以德施教、以德育德的楷模，努力打造一支适应现代职业教育，师德高尚，业务精良，专业化的教师队伍，全面提高教学质量。同时，充分发挥老教师特长，起教学引领示范作用。调动青年骨干教师的工作积极性，使其在教学一线上展现青春活力。</w:t>
      </w:r>
    </w:p>
    <w:p>
      <w:pPr>
        <w:pStyle w:val="4"/>
        <w:numPr>
          <w:ilvl w:val="0"/>
          <w:numId w:val="19"/>
        </w:numPr>
        <w:bidi w:val="0"/>
        <w:ind w:left="425" w:leftChars="0" w:firstLine="53" w:firstLineChars="19"/>
        <w:rPr>
          <w:rFonts w:hint="eastAsia"/>
        </w:rPr>
      </w:pPr>
      <w:r>
        <w:rPr>
          <w:rFonts w:hint="eastAsia"/>
        </w:rPr>
        <w:t>重视青年教师的培养工作</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教务科制定了《2020-2021学年度揭阳捷和职业技术学校公开课专项活动实施方案》《2020-2021学年度揭阳捷和职业技术学校听评课实施方案》，有效规范了公开课专项活动。每位新教师都安排相应的骨干教师从教学、业务等方面进行传帮带，并在本学期举行了骨干教师示范课和新教师入门汇报课的听评课活动。</w:t>
      </w: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揭阳捷和职业技术学校2020-2021学年度第一学期示范课、汇报课一览表</w:t>
      </w:r>
    </w:p>
    <w:tbl>
      <w:tblPr>
        <w:tblStyle w:val="16"/>
        <w:tblpPr w:leftFromText="180" w:rightFromText="180" w:vertAnchor="text" w:horzAnchor="page" w:tblpX="1253" w:tblpY="587"/>
        <w:tblOverlap w:val="never"/>
        <w:tblW w:w="9357" w:type="dxa"/>
        <w:tblInd w:w="0" w:type="dxa"/>
        <w:tblLayout w:type="autofit"/>
        <w:tblCellMar>
          <w:top w:w="0" w:type="dxa"/>
          <w:left w:w="108" w:type="dxa"/>
          <w:bottom w:w="0" w:type="dxa"/>
          <w:right w:w="108" w:type="dxa"/>
        </w:tblCellMar>
      </w:tblPr>
      <w:tblGrid>
        <w:gridCol w:w="426"/>
        <w:gridCol w:w="993"/>
        <w:gridCol w:w="425"/>
        <w:gridCol w:w="567"/>
        <w:gridCol w:w="567"/>
        <w:gridCol w:w="992"/>
        <w:gridCol w:w="1276"/>
        <w:gridCol w:w="850"/>
        <w:gridCol w:w="1134"/>
        <w:gridCol w:w="1134"/>
        <w:gridCol w:w="993"/>
      </w:tblGrid>
      <w:tr>
        <w:tblPrEx>
          <w:tblCellMar>
            <w:top w:w="0" w:type="dxa"/>
            <w:left w:w="108" w:type="dxa"/>
            <w:bottom w:w="0" w:type="dxa"/>
            <w:right w:w="108" w:type="dxa"/>
          </w:tblCellMar>
        </w:tblPrEx>
        <w:trPr>
          <w:trHeight w:val="588" w:hRule="atLeast"/>
          <w:tblHeader/>
        </w:trPr>
        <w:tc>
          <w:tcPr>
            <w:tcW w:w="4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99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组别</w:t>
            </w:r>
          </w:p>
        </w:tc>
        <w:tc>
          <w:tcPr>
            <w:tcW w:w="42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周次</w:t>
            </w:r>
          </w:p>
        </w:tc>
        <w:tc>
          <w:tcPr>
            <w:tcW w:w="56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星期</w:t>
            </w:r>
          </w:p>
        </w:tc>
        <w:tc>
          <w:tcPr>
            <w:tcW w:w="56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节次</w:t>
            </w:r>
          </w:p>
        </w:tc>
        <w:tc>
          <w:tcPr>
            <w:tcW w:w="99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课程</w:t>
            </w:r>
          </w:p>
        </w:tc>
        <w:tc>
          <w:tcPr>
            <w:tcW w:w="127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课题</w:t>
            </w:r>
          </w:p>
        </w:tc>
        <w:tc>
          <w:tcPr>
            <w:tcW w:w="85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执教者</w:t>
            </w:r>
          </w:p>
        </w:tc>
        <w:tc>
          <w:tcPr>
            <w:tcW w:w="113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班级</w:t>
            </w:r>
          </w:p>
        </w:tc>
        <w:tc>
          <w:tcPr>
            <w:tcW w:w="1134"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地点</w:t>
            </w:r>
          </w:p>
        </w:tc>
        <w:tc>
          <w:tcPr>
            <w:tcW w:w="99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思想政治</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一</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经济政治与社会</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个人收入和理财</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黄晓敏</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19（23/24）</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教室（明德楼4楼）</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语文</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一</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6</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应用文撰写</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新闻写作</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谢静辉</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18级高职（6）班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18级高职（6）班教室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数学</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五</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数学</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集合的交集、补集</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陈桂玲</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20级(9)班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教室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数学</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五</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6</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数学</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集合的真子集</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陈妙佳</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20级电商(8)班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教室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英语</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日</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英语</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大学英语语法系列-冠词用法</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郑相奋</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学前教育（春季）2020级1班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臻善楼502教室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6</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英语</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8</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五</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英语</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Unit 1如何介绍别人</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陈洁仪</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20级电商（6）班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20级电商（6）班教室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体育与健康</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10</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三</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篮球</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篮球双手胸前传接球</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辜泽栋</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19级（5）班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田径场</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区级体育公开课</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8</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体育与健康</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10</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三</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6</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篮球</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篮球双手胸前击地传接球</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蔡灼盛</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20级（12）班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田径场</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区级体育公开课</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9</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计算机应用</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9</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一</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计算机文化基础</w:t>
            </w:r>
          </w:p>
        </w:tc>
        <w:tc>
          <w:tcPr>
            <w:tcW w:w="1276" w:type="dxa"/>
            <w:tcBorders>
              <w:top w:val="nil"/>
              <w:left w:val="nil"/>
              <w:bottom w:val="nil"/>
              <w:right w:val="nil"/>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功课表的制作</w:t>
            </w:r>
          </w:p>
        </w:tc>
        <w:tc>
          <w:tcPr>
            <w:tcW w:w="85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黄佳楠</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20（5）班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博识楼406</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10</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电子商务</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8</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四</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进出口贸易</w:t>
            </w:r>
          </w:p>
        </w:tc>
        <w:tc>
          <w:tcPr>
            <w:tcW w:w="127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常见贸易术语FOB、CFR、CIF</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黄敏娜</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19（3）</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19（3）教室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11</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电子商务</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三</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进出口贸易</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常见贸易术语</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谢晓佳</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19级（7）班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19级（7）班教室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12</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电子与信息技术</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14</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五</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EDA技术与应用</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波形发生器电路仿真</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李俊容</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20级（10）班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机房405室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13</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机电技术应用</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8</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二</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电工基础</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导线的连接</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方概惠</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20级（10）班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行知楼202</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14</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数控技术应用</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13</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三</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钳工基础</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凸型块工件的制作</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景继军</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20（11）</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实训楼311</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15</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汽车运用与维修</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8</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五</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汽车保养</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换机油</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刘昭雄</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20（12）</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行知楼108</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16</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会计</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三</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基础会计</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借贷记账法</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吴彤</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20（14）</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臻善楼204教室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17</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会计</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8</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三</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电算化</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建账</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张广</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19（3）</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博识楼404</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18</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中餐烹饪</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9</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三</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烹饪工艺美术</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《巧克力装饰制作》</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郑文焕</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19（15）</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行知楼5楼西点室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学前教育</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日</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幼儿舞蹈及编排</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地面基训</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纪宇祺</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学前教育（春季）2020级1班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臻善楼一楼舞蹈室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20</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学前教育</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日</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键盘乐器基础</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小调式音阶与和弦</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柯文荣</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学前教育（春季）2020级1班</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臻善楼502教室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21</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学前教育</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9</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一</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声乐</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《我和我的祖国》</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孙师娴</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19（21）</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明德楼5楼</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r>
        <w:tblPrEx>
          <w:tblCellMar>
            <w:top w:w="0" w:type="dxa"/>
            <w:left w:w="108" w:type="dxa"/>
            <w:bottom w:w="0" w:type="dxa"/>
            <w:right w:w="108" w:type="dxa"/>
          </w:tblCellMar>
        </w:tblPrEx>
        <w:trPr>
          <w:trHeight w:val="672" w:hRule="atLeast"/>
        </w:trPr>
        <w:tc>
          <w:tcPr>
            <w:tcW w:w="42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22</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美术基础</w:t>
            </w:r>
          </w:p>
        </w:tc>
        <w:tc>
          <w:tcPr>
            <w:tcW w:w="4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7</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一</w:t>
            </w:r>
          </w:p>
        </w:tc>
        <w:tc>
          <w:tcPr>
            <w:tcW w:w="56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99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美术</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色彩</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林丹琪</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19（18）</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104画室</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　</w:t>
            </w:r>
          </w:p>
        </w:tc>
      </w:tr>
    </w:tbl>
    <w:p>
      <w:pPr>
        <w:spacing w:line="360" w:lineRule="auto"/>
        <w:rPr>
          <w:rFonts w:ascii="宋体" w:hAnsi="宋体"/>
          <w:sz w:val="24"/>
        </w:rPr>
      </w:pP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揭阳捷和职业技术学校2020-2021学年度第二学期示范课、汇报课一览表</w:t>
      </w:r>
    </w:p>
    <w:tbl>
      <w:tblPr>
        <w:tblStyle w:val="16"/>
        <w:tblW w:w="8912" w:type="dxa"/>
        <w:tblInd w:w="-318" w:type="dxa"/>
        <w:tblLayout w:type="autofit"/>
        <w:tblCellMar>
          <w:top w:w="0" w:type="dxa"/>
          <w:left w:w="108" w:type="dxa"/>
          <w:bottom w:w="0" w:type="dxa"/>
          <w:right w:w="108" w:type="dxa"/>
        </w:tblCellMar>
      </w:tblPr>
      <w:tblGrid>
        <w:gridCol w:w="400"/>
        <w:gridCol w:w="1120"/>
        <w:gridCol w:w="513"/>
        <w:gridCol w:w="582"/>
        <w:gridCol w:w="566"/>
        <w:gridCol w:w="985"/>
        <w:gridCol w:w="1265"/>
        <w:gridCol w:w="845"/>
        <w:gridCol w:w="1131"/>
        <w:gridCol w:w="1505"/>
      </w:tblGrid>
      <w:tr>
        <w:tblPrEx>
          <w:tblCellMar>
            <w:top w:w="0" w:type="dxa"/>
            <w:left w:w="108" w:type="dxa"/>
            <w:bottom w:w="0" w:type="dxa"/>
            <w:right w:w="108" w:type="dxa"/>
          </w:tblCellMar>
        </w:tblPrEx>
        <w:trPr>
          <w:trHeight w:val="588" w:hRule="atLeast"/>
        </w:trPr>
        <w:tc>
          <w:tcPr>
            <w:tcW w:w="4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序号</w:t>
            </w:r>
          </w:p>
        </w:tc>
        <w:tc>
          <w:tcPr>
            <w:tcW w:w="112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组别</w:t>
            </w:r>
          </w:p>
        </w:tc>
        <w:tc>
          <w:tcPr>
            <w:tcW w:w="51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周次</w:t>
            </w:r>
          </w:p>
        </w:tc>
        <w:tc>
          <w:tcPr>
            <w:tcW w:w="58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星期</w:t>
            </w:r>
          </w:p>
        </w:tc>
        <w:tc>
          <w:tcPr>
            <w:tcW w:w="56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节次</w:t>
            </w:r>
          </w:p>
        </w:tc>
        <w:tc>
          <w:tcPr>
            <w:tcW w:w="98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课程</w:t>
            </w:r>
          </w:p>
        </w:tc>
        <w:tc>
          <w:tcPr>
            <w:tcW w:w="126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课题</w:t>
            </w:r>
          </w:p>
        </w:tc>
        <w:tc>
          <w:tcPr>
            <w:tcW w:w="84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执教者</w:t>
            </w:r>
          </w:p>
        </w:tc>
        <w:tc>
          <w:tcPr>
            <w:tcW w:w="1131"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班级</w:t>
            </w:r>
          </w:p>
        </w:tc>
        <w:tc>
          <w:tcPr>
            <w:tcW w:w="1505"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地点</w:t>
            </w:r>
          </w:p>
        </w:tc>
      </w:tr>
      <w:tr>
        <w:tblPrEx>
          <w:tblCellMar>
            <w:top w:w="0" w:type="dxa"/>
            <w:left w:w="108" w:type="dxa"/>
            <w:bottom w:w="0" w:type="dxa"/>
            <w:right w:w="108" w:type="dxa"/>
          </w:tblCellMar>
        </w:tblPrEx>
        <w:trPr>
          <w:trHeight w:val="672" w:hRule="atLeast"/>
        </w:trPr>
        <w:tc>
          <w:tcPr>
            <w:tcW w:w="4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1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会计</w:t>
            </w:r>
          </w:p>
        </w:tc>
        <w:tc>
          <w:tcPr>
            <w:tcW w:w="51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p>
        </w:tc>
        <w:tc>
          <w:tcPr>
            <w:tcW w:w="5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三</w:t>
            </w:r>
          </w:p>
        </w:tc>
        <w:tc>
          <w:tcPr>
            <w:tcW w:w="56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98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会计</w:t>
            </w:r>
          </w:p>
        </w:tc>
        <w:tc>
          <w:tcPr>
            <w:tcW w:w="126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支票的种类和填写</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陈妍洁</w:t>
            </w:r>
          </w:p>
        </w:tc>
        <w:tc>
          <w:tcPr>
            <w:tcW w:w="113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20级电子商务</w:t>
            </w:r>
            <w:r>
              <w:rPr>
                <w:rFonts w:hint="eastAsia" w:ascii="宋体" w:hAnsi="宋体" w:eastAsia="宋体" w:cs="宋体"/>
                <w:color w:val="000000"/>
                <w:kern w:val="0"/>
                <w:sz w:val="18"/>
                <w:szCs w:val="18"/>
              </w:rPr>
              <w:t>（8）</w:t>
            </w:r>
            <w:r>
              <w:rPr>
                <w:rFonts w:hint="eastAsia" w:ascii="宋体" w:hAnsi="宋体" w:eastAsia="宋体" w:cs="宋体"/>
                <w:color w:val="000000"/>
                <w:sz w:val="18"/>
                <w:szCs w:val="18"/>
              </w:rPr>
              <w:t>班</w:t>
            </w:r>
          </w:p>
        </w:tc>
        <w:tc>
          <w:tcPr>
            <w:tcW w:w="150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致远楼303</w:t>
            </w:r>
          </w:p>
        </w:tc>
      </w:tr>
      <w:tr>
        <w:tblPrEx>
          <w:tblCellMar>
            <w:top w:w="0" w:type="dxa"/>
            <w:left w:w="108" w:type="dxa"/>
            <w:bottom w:w="0" w:type="dxa"/>
            <w:right w:w="108" w:type="dxa"/>
          </w:tblCellMar>
        </w:tblPrEx>
        <w:trPr>
          <w:trHeight w:val="672" w:hRule="atLeast"/>
        </w:trPr>
        <w:tc>
          <w:tcPr>
            <w:tcW w:w="4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1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英语</w:t>
            </w:r>
          </w:p>
        </w:tc>
        <w:tc>
          <w:tcPr>
            <w:tcW w:w="51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p>
        </w:tc>
        <w:tc>
          <w:tcPr>
            <w:tcW w:w="5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三</w:t>
            </w:r>
          </w:p>
        </w:tc>
        <w:tc>
          <w:tcPr>
            <w:tcW w:w="56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98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英语</w:t>
            </w:r>
          </w:p>
        </w:tc>
        <w:tc>
          <w:tcPr>
            <w:tcW w:w="126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数词</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高琼</w:t>
            </w:r>
          </w:p>
        </w:tc>
        <w:tc>
          <w:tcPr>
            <w:tcW w:w="113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19级高职</w:t>
            </w:r>
            <w:r>
              <w:rPr>
                <w:rFonts w:hint="eastAsia" w:ascii="宋体" w:hAnsi="宋体" w:eastAsia="宋体" w:cs="宋体"/>
                <w:color w:val="000000"/>
                <w:kern w:val="0"/>
                <w:sz w:val="18"/>
                <w:szCs w:val="18"/>
              </w:rPr>
              <w:t>（4）</w:t>
            </w:r>
            <w:r>
              <w:rPr>
                <w:rFonts w:hint="eastAsia" w:ascii="宋体" w:hAnsi="宋体" w:eastAsia="宋体" w:cs="宋体"/>
                <w:color w:val="000000"/>
                <w:sz w:val="18"/>
                <w:szCs w:val="18"/>
              </w:rPr>
              <w:t>班</w:t>
            </w:r>
          </w:p>
        </w:tc>
        <w:tc>
          <w:tcPr>
            <w:tcW w:w="150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臻善楼405</w:t>
            </w:r>
          </w:p>
        </w:tc>
      </w:tr>
      <w:tr>
        <w:tblPrEx>
          <w:tblCellMar>
            <w:top w:w="0" w:type="dxa"/>
            <w:left w:w="108" w:type="dxa"/>
            <w:bottom w:w="0" w:type="dxa"/>
            <w:right w:w="108" w:type="dxa"/>
          </w:tblCellMar>
        </w:tblPrEx>
        <w:trPr>
          <w:trHeight w:val="672" w:hRule="atLeast"/>
        </w:trPr>
        <w:tc>
          <w:tcPr>
            <w:tcW w:w="4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p>
        </w:tc>
        <w:tc>
          <w:tcPr>
            <w:tcW w:w="11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数学</w:t>
            </w:r>
          </w:p>
        </w:tc>
        <w:tc>
          <w:tcPr>
            <w:tcW w:w="51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w:t>
            </w:r>
          </w:p>
        </w:tc>
        <w:tc>
          <w:tcPr>
            <w:tcW w:w="5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三</w:t>
            </w:r>
          </w:p>
        </w:tc>
        <w:tc>
          <w:tcPr>
            <w:tcW w:w="56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p>
        </w:tc>
        <w:tc>
          <w:tcPr>
            <w:tcW w:w="98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数学</w:t>
            </w:r>
          </w:p>
        </w:tc>
        <w:tc>
          <w:tcPr>
            <w:tcW w:w="126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数列求和</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翁婉琦</w:t>
            </w:r>
          </w:p>
        </w:tc>
        <w:tc>
          <w:tcPr>
            <w:tcW w:w="113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19级高职</w:t>
            </w:r>
            <w:r>
              <w:rPr>
                <w:rFonts w:hint="eastAsia" w:ascii="宋体" w:hAnsi="宋体" w:eastAsia="宋体" w:cs="宋体"/>
                <w:color w:val="000000"/>
                <w:kern w:val="0"/>
                <w:sz w:val="18"/>
                <w:szCs w:val="18"/>
              </w:rPr>
              <w:t>（3）</w:t>
            </w:r>
            <w:r>
              <w:rPr>
                <w:rFonts w:hint="eastAsia" w:ascii="宋体" w:hAnsi="宋体" w:eastAsia="宋体" w:cs="宋体"/>
                <w:color w:val="000000"/>
                <w:sz w:val="18"/>
                <w:szCs w:val="18"/>
              </w:rPr>
              <w:t>班</w:t>
            </w:r>
          </w:p>
        </w:tc>
        <w:tc>
          <w:tcPr>
            <w:tcW w:w="150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臻善楼404</w:t>
            </w:r>
          </w:p>
        </w:tc>
      </w:tr>
      <w:tr>
        <w:tblPrEx>
          <w:tblCellMar>
            <w:top w:w="0" w:type="dxa"/>
            <w:left w:w="108" w:type="dxa"/>
            <w:bottom w:w="0" w:type="dxa"/>
            <w:right w:w="108" w:type="dxa"/>
          </w:tblCellMar>
        </w:tblPrEx>
        <w:trPr>
          <w:trHeight w:val="672" w:hRule="atLeast"/>
        </w:trPr>
        <w:tc>
          <w:tcPr>
            <w:tcW w:w="4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11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数学</w:t>
            </w:r>
          </w:p>
        </w:tc>
        <w:tc>
          <w:tcPr>
            <w:tcW w:w="51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8</w:t>
            </w:r>
          </w:p>
        </w:tc>
        <w:tc>
          <w:tcPr>
            <w:tcW w:w="5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三</w:t>
            </w:r>
          </w:p>
        </w:tc>
        <w:tc>
          <w:tcPr>
            <w:tcW w:w="56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98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数学</w:t>
            </w:r>
          </w:p>
        </w:tc>
        <w:tc>
          <w:tcPr>
            <w:tcW w:w="126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整数指数幂</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魏晓晔</w:t>
            </w:r>
          </w:p>
        </w:tc>
        <w:tc>
          <w:tcPr>
            <w:tcW w:w="113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20级电商</w:t>
            </w:r>
            <w:r>
              <w:rPr>
                <w:rFonts w:hint="eastAsia" w:ascii="宋体" w:hAnsi="宋体" w:eastAsia="宋体" w:cs="宋体"/>
                <w:color w:val="000000"/>
                <w:kern w:val="0"/>
                <w:sz w:val="18"/>
                <w:szCs w:val="18"/>
              </w:rPr>
              <w:t>（7）</w:t>
            </w:r>
            <w:r>
              <w:rPr>
                <w:rFonts w:hint="eastAsia" w:ascii="宋体" w:hAnsi="宋体" w:eastAsia="宋体" w:cs="宋体"/>
                <w:color w:val="000000"/>
                <w:sz w:val="18"/>
                <w:szCs w:val="18"/>
              </w:rPr>
              <w:t>班</w:t>
            </w:r>
          </w:p>
        </w:tc>
        <w:tc>
          <w:tcPr>
            <w:tcW w:w="150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20级电商</w:t>
            </w:r>
            <w:r>
              <w:rPr>
                <w:rFonts w:hint="eastAsia" w:ascii="宋体" w:hAnsi="宋体" w:eastAsia="宋体" w:cs="宋体"/>
                <w:color w:val="000000"/>
                <w:kern w:val="0"/>
                <w:sz w:val="18"/>
                <w:szCs w:val="18"/>
              </w:rPr>
              <w:t>（7）</w:t>
            </w:r>
            <w:r>
              <w:rPr>
                <w:rFonts w:hint="eastAsia" w:ascii="宋体" w:hAnsi="宋体" w:eastAsia="宋体" w:cs="宋体"/>
                <w:color w:val="000000"/>
                <w:sz w:val="18"/>
                <w:szCs w:val="18"/>
              </w:rPr>
              <w:t>班教室</w:t>
            </w:r>
          </w:p>
        </w:tc>
      </w:tr>
      <w:tr>
        <w:tblPrEx>
          <w:tblCellMar>
            <w:top w:w="0" w:type="dxa"/>
            <w:left w:w="108" w:type="dxa"/>
            <w:bottom w:w="0" w:type="dxa"/>
            <w:right w:w="108" w:type="dxa"/>
          </w:tblCellMar>
        </w:tblPrEx>
        <w:trPr>
          <w:trHeight w:val="672" w:hRule="atLeast"/>
        </w:trPr>
        <w:tc>
          <w:tcPr>
            <w:tcW w:w="40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p>
        </w:tc>
        <w:tc>
          <w:tcPr>
            <w:tcW w:w="112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数控</w:t>
            </w:r>
          </w:p>
        </w:tc>
        <w:tc>
          <w:tcPr>
            <w:tcW w:w="51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12</w:t>
            </w:r>
          </w:p>
        </w:tc>
        <w:tc>
          <w:tcPr>
            <w:tcW w:w="5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三</w:t>
            </w:r>
          </w:p>
        </w:tc>
        <w:tc>
          <w:tcPr>
            <w:tcW w:w="56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98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数控</w:t>
            </w:r>
          </w:p>
        </w:tc>
        <w:tc>
          <w:tcPr>
            <w:tcW w:w="126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外螺纹车削</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叶相杰</w:t>
            </w:r>
          </w:p>
        </w:tc>
        <w:tc>
          <w:tcPr>
            <w:tcW w:w="1131"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19级机电</w:t>
            </w:r>
            <w:r>
              <w:rPr>
                <w:rFonts w:hint="eastAsia" w:ascii="宋体" w:hAnsi="宋体" w:eastAsia="宋体" w:cs="宋体"/>
                <w:color w:val="000000"/>
                <w:kern w:val="0"/>
                <w:sz w:val="18"/>
                <w:szCs w:val="18"/>
              </w:rPr>
              <w:t>（9）</w:t>
            </w:r>
            <w:r>
              <w:rPr>
                <w:rFonts w:hint="eastAsia" w:ascii="宋体" w:hAnsi="宋体" w:eastAsia="宋体" w:cs="宋体"/>
                <w:color w:val="000000"/>
                <w:sz w:val="18"/>
                <w:szCs w:val="18"/>
              </w:rPr>
              <w:t>班</w:t>
            </w:r>
          </w:p>
        </w:tc>
        <w:tc>
          <w:tcPr>
            <w:tcW w:w="150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sz w:val="18"/>
                <w:szCs w:val="18"/>
              </w:rPr>
              <w:t>行知楼105室</w:t>
            </w:r>
          </w:p>
        </w:tc>
      </w:tr>
    </w:tbl>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为进一步提高实训教学质量，展示实训教师的教学风采，推动学校实训工作再上新台阶，本学期学校组织开展了实训课比赛</w:t>
      </w:r>
    </w:p>
    <w:tbl>
      <w:tblPr>
        <w:tblStyle w:val="16"/>
        <w:tblW w:w="6816" w:type="dxa"/>
        <w:jc w:val="center"/>
        <w:tblLayout w:type="autofit"/>
        <w:tblCellMar>
          <w:top w:w="0" w:type="dxa"/>
          <w:left w:w="108" w:type="dxa"/>
          <w:bottom w:w="0" w:type="dxa"/>
          <w:right w:w="108" w:type="dxa"/>
        </w:tblCellMar>
      </w:tblPr>
      <w:tblGrid>
        <w:gridCol w:w="540"/>
        <w:gridCol w:w="1032"/>
        <w:gridCol w:w="850"/>
        <w:gridCol w:w="1276"/>
        <w:gridCol w:w="850"/>
        <w:gridCol w:w="2268"/>
      </w:tblGrid>
      <w:tr>
        <w:tblPrEx>
          <w:tblCellMar>
            <w:top w:w="0" w:type="dxa"/>
            <w:left w:w="108" w:type="dxa"/>
            <w:bottom w:w="0" w:type="dxa"/>
            <w:right w:w="108" w:type="dxa"/>
          </w:tblCellMar>
        </w:tblPrEx>
        <w:trPr>
          <w:trHeight w:val="768" w:hRule="atLeast"/>
          <w:jc w:val="center"/>
        </w:trPr>
        <w:tc>
          <w:tcPr>
            <w:tcW w:w="5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序号</w:t>
            </w:r>
          </w:p>
        </w:tc>
        <w:tc>
          <w:tcPr>
            <w:tcW w:w="1032"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姓名</w:t>
            </w:r>
          </w:p>
        </w:tc>
        <w:tc>
          <w:tcPr>
            <w:tcW w:w="85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所属科组</w:t>
            </w:r>
          </w:p>
        </w:tc>
        <w:tc>
          <w:tcPr>
            <w:tcW w:w="127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参赛课程</w:t>
            </w:r>
          </w:p>
        </w:tc>
        <w:tc>
          <w:tcPr>
            <w:tcW w:w="85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上课  地点</w:t>
            </w:r>
          </w:p>
        </w:tc>
        <w:tc>
          <w:tcPr>
            <w:tcW w:w="226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评委人员</w:t>
            </w:r>
          </w:p>
        </w:tc>
      </w:tr>
      <w:tr>
        <w:tblPrEx>
          <w:tblCellMar>
            <w:top w:w="0" w:type="dxa"/>
            <w:left w:w="108" w:type="dxa"/>
            <w:bottom w:w="0" w:type="dxa"/>
            <w:right w:w="108" w:type="dxa"/>
          </w:tblCellMar>
        </w:tblPrEx>
        <w:trPr>
          <w:trHeight w:val="1140" w:hRule="atLeast"/>
          <w:jc w:val="center"/>
        </w:trPr>
        <w:tc>
          <w:tcPr>
            <w:tcW w:w="54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w:t>
            </w:r>
          </w:p>
        </w:tc>
        <w:tc>
          <w:tcPr>
            <w:tcW w:w="103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吴小红</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财经</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《填制记账凭证》</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臻善楼204</w:t>
            </w:r>
          </w:p>
        </w:tc>
        <w:tc>
          <w:tcPr>
            <w:tcW w:w="22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陈云洲、林伟生、吴莹、郑纯氧、佘燕杰</w:t>
            </w:r>
          </w:p>
        </w:tc>
      </w:tr>
      <w:tr>
        <w:tblPrEx>
          <w:tblCellMar>
            <w:top w:w="0" w:type="dxa"/>
            <w:left w:w="108" w:type="dxa"/>
            <w:bottom w:w="0" w:type="dxa"/>
            <w:right w:w="108" w:type="dxa"/>
          </w:tblCellMar>
        </w:tblPrEx>
        <w:trPr>
          <w:trHeight w:val="1140" w:hRule="atLeast"/>
          <w:jc w:val="center"/>
        </w:trPr>
        <w:tc>
          <w:tcPr>
            <w:tcW w:w="54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2</w:t>
            </w:r>
          </w:p>
        </w:tc>
        <w:tc>
          <w:tcPr>
            <w:tcW w:w="103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黄梓怡</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音乐</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《黄河船夫曲》</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臻善楼504</w:t>
            </w:r>
          </w:p>
        </w:tc>
        <w:tc>
          <w:tcPr>
            <w:tcW w:w="22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袁文钦、洪碧苑、邓燕群、周丽凤、官丽萍</w:t>
            </w:r>
          </w:p>
        </w:tc>
      </w:tr>
      <w:tr>
        <w:tblPrEx>
          <w:tblCellMar>
            <w:top w:w="0" w:type="dxa"/>
            <w:left w:w="108" w:type="dxa"/>
            <w:bottom w:w="0" w:type="dxa"/>
            <w:right w:w="108" w:type="dxa"/>
          </w:tblCellMar>
        </w:tblPrEx>
        <w:trPr>
          <w:trHeight w:val="1140" w:hRule="atLeast"/>
          <w:jc w:val="center"/>
        </w:trPr>
        <w:tc>
          <w:tcPr>
            <w:tcW w:w="54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3</w:t>
            </w:r>
          </w:p>
        </w:tc>
        <w:tc>
          <w:tcPr>
            <w:tcW w:w="103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周婉</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动漫</w:t>
            </w:r>
          </w:p>
        </w:tc>
        <w:tc>
          <w:tcPr>
            <w:tcW w:w="1276" w:type="dxa"/>
            <w:tcBorders>
              <w:top w:val="nil"/>
              <w:left w:val="nil"/>
              <w:bottom w:val="nil"/>
              <w:right w:val="nil"/>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《二维动画——12动效法则的应用》</w:t>
            </w:r>
          </w:p>
        </w:tc>
        <w:tc>
          <w:tcPr>
            <w:tcW w:w="85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行知楼402</w:t>
            </w:r>
          </w:p>
        </w:tc>
        <w:tc>
          <w:tcPr>
            <w:tcW w:w="22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袁文钦、洪碧苑、邓燕群、周丽凤、官丽萍</w:t>
            </w:r>
          </w:p>
        </w:tc>
      </w:tr>
      <w:tr>
        <w:tblPrEx>
          <w:tblCellMar>
            <w:top w:w="0" w:type="dxa"/>
            <w:left w:w="108" w:type="dxa"/>
            <w:bottom w:w="0" w:type="dxa"/>
            <w:right w:w="108" w:type="dxa"/>
          </w:tblCellMar>
        </w:tblPrEx>
        <w:trPr>
          <w:trHeight w:val="1140" w:hRule="atLeast"/>
          <w:jc w:val="center"/>
        </w:trPr>
        <w:tc>
          <w:tcPr>
            <w:tcW w:w="54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4</w:t>
            </w:r>
          </w:p>
        </w:tc>
        <w:tc>
          <w:tcPr>
            <w:tcW w:w="103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景继军</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数控</w:t>
            </w:r>
          </w:p>
        </w:tc>
        <w:tc>
          <w:tcPr>
            <w:tcW w:w="127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《钳工》</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行知楼311</w:t>
            </w:r>
          </w:p>
        </w:tc>
        <w:tc>
          <w:tcPr>
            <w:tcW w:w="22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刘昭雄、洪伟鹏、方初升、李俊容、方概惠</w:t>
            </w:r>
          </w:p>
        </w:tc>
      </w:tr>
      <w:tr>
        <w:tblPrEx>
          <w:tblCellMar>
            <w:top w:w="0" w:type="dxa"/>
            <w:left w:w="108" w:type="dxa"/>
            <w:bottom w:w="0" w:type="dxa"/>
            <w:right w:w="108" w:type="dxa"/>
          </w:tblCellMar>
        </w:tblPrEx>
        <w:trPr>
          <w:trHeight w:val="1140" w:hRule="atLeast"/>
          <w:jc w:val="center"/>
        </w:trPr>
        <w:tc>
          <w:tcPr>
            <w:tcW w:w="54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5</w:t>
            </w:r>
          </w:p>
        </w:tc>
        <w:tc>
          <w:tcPr>
            <w:tcW w:w="103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马卫超</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汽修</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《四轮定位》</w:t>
            </w:r>
          </w:p>
        </w:tc>
        <w:tc>
          <w:tcPr>
            <w:tcW w:w="8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行知楼107</w:t>
            </w:r>
          </w:p>
        </w:tc>
        <w:tc>
          <w:tcPr>
            <w:tcW w:w="22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刘昭雄、洪伟鹏、方初升、李俊容、方概惠</w:t>
            </w:r>
          </w:p>
        </w:tc>
      </w:tr>
      <w:tr>
        <w:tblPrEx>
          <w:tblCellMar>
            <w:top w:w="0" w:type="dxa"/>
            <w:left w:w="108" w:type="dxa"/>
            <w:bottom w:w="0" w:type="dxa"/>
            <w:right w:w="108" w:type="dxa"/>
          </w:tblCellMar>
        </w:tblPrEx>
        <w:trPr>
          <w:trHeight w:val="1140" w:hRule="atLeast"/>
          <w:jc w:val="center"/>
        </w:trPr>
        <w:tc>
          <w:tcPr>
            <w:tcW w:w="54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6</w:t>
            </w:r>
          </w:p>
        </w:tc>
        <w:tc>
          <w:tcPr>
            <w:tcW w:w="103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林丹琪</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美术</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《色彩静物·蔬菜类单体训练—白菜》</w:t>
            </w:r>
          </w:p>
        </w:tc>
        <w:tc>
          <w:tcPr>
            <w:tcW w:w="850"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明德楼104</w:t>
            </w:r>
          </w:p>
        </w:tc>
        <w:tc>
          <w:tcPr>
            <w:tcW w:w="226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袁文钦、洪碧苑、邓燕群、周丽凤、官丽萍</w:t>
            </w:r>
          </w:p>
        </w:tc>
      </w:tr>
      <w:tr>
        <w:tblPrEx>
          <w:tblCellMar>
            <w:top w:w="0" w:type="dxa"/>
            <w:left w:w="108" w:type="dxa"/>
            <w:bottom w:w="0" w:type="dxa"/>
            <w:right w:w="108" w:type="dxa"/>
          </w:tblCellMar>
        </w:tblPrEx>
        <w:trPr>
          <w:trHeight w:val="1140" w:hRule="atLeast"/>
          <w:jc w:val="center"/>
        </w:trPr>
        <w:tc>
          <w:tcPr>
            <w:tcW w:w="54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7</w:t>
            </w:r>
          </w:p>
        </w:tc>
        <w:tc>
          <w:tcPr>
            <w:tcW w:w="103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黄敏新</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电子</w:t>
            </w:r>
          </w:p>
        </w:tc>
        <w:tc>
          <w:tcPr>
            <w:tcW w:w="127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单片机—《8×8 led 点阵显示》</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行知楼401</w:t>
            </w:r>
          </w:p>
        </w:tc>
        <w:tc>
          <w:tcPr>
            <w:tcW w:w="22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刘昭雄、洪伟鹏、方初升、李俊容、方概惠</w:t>
            </w:r>
          </w:p>
        </w:tc>
      </w:tr>
    </w:tbl>
    <w:p>
      <w:pPr>
        <w:spacing w:line="360" w:lineRule="auto"/>
        <w:ind w:left="0" w:leftChars="0"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2020年揭阳捷和职业技术学校实训课比赛获奖情况</w:t>
      </w:r>
    </w:p>
    <w:tbl>
      <w:tblPr>
        <w:tblStyle w:val="16"/>
        <w:tblW w:w="7905" w:type="dxa"/>
        <w:jc w:val="center"/>
        <w:tblLayout w:type="fixed"/>
        <w:tblCellMar>
          <w:top w:w="0" w:type="dxa"/>
          <w:left w:w="108" w:type="dxa"/>
          <w:bottom w:w="0" w:type="dxa"/>
          <w:right w:w="108" w:type="dxa"/>
        </w:tblCellMar>
      </w:tblPr>
      <w:tblGrid>
        <w:gridCol w:w="1005"/>
        <w:gridCol w:w="1559"/>
        <w:gridCol w:w="3402"/>
        <w:gridCol w:w="1939"/>
      </w:tblGrid>
      <w:tr>
        <w:tblPrEx>
          <w:tblCellMar>
            <w:top w:w="0" w:type="dxa"/>
            <w:left w:w="108" w:type="dxa"/>
            <w:bottom w:w="0" w:type="dxa"/>
            <w:right w:w="108" w:type="dxa"/>
          </w:tblCellMar>
        </w:tblPrEx>
        <w:trPr>
          <w:trHeight w:val="360" w:hRule="atLeast"/>
          <w:jc w:val="center"/>
        </w:trPr>
        <w:tc>
          <w:tcPr>
            <w:tcW w:w="100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kern w:val="0"/>
                <w:sz w:val="20"/>
                <w:szCs w:val="20"/>
              </w:rPr>
            </w:pPr>
            <w:r>
              <w:rPr>
                <w:rFonts w:hint="eastAsia" w:ascii="宋体" w:hAnsi="宋体" w:eastAsia="宋体" w:cs="宋体"/>
                <w:b/>
                <w:bCs/>
                <w:kern w:val="0"/>
                <w:sz w:val="20"/>
                <w:szCs w:val="20"/>
              </w:rPr>
              <w:t>序号</w:t>
            </w:r>
          </w:p>
        </w:tc>
        <w:tc>
          <w:tcPr>
            <w:tcW w:w="1559"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kern w:val="0"/>
                <w:sz w:val="20"/>
                <w:szCs w:val="20"/>
              </w:rPr>
            </w:pPr>
            <w:r>
              <w:rPr>
                <w:rFonts w:hint="eastAsia" w:ascii="宋体" w:hAnsi="宋体" w:eastAsia="宋体" w:cs="宋体"/>
                <w:b/>
                <w:bCs/>
                <w:kern w:val="0"/>
                <w:sz w:val="20"/>
                <w:szCs w:val="20"/>
              </w:rPr>
              <w:t>姓名</w:t>
            </w:r>
          </w:p>
        </w:tc>
        <w:tc>
          <w:tcPr>
            <w:tcW w:w="3402"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kern w:val="0"/>
                <w:sz w:val="20"/>
                <w:szCs w:val="20"/>
              </w:rPr>
            </w:pPr>
            <w:r>
              <w:rPr>
                <w:rFonts w:hint="eastAsia" w:ascii="宋体" w:hAnsi="宋体" w:eastAsia="宋体" w:cs="宋体"/>
                <w:b/>
                <w:bCs/>
                <w:kern w:val="0"/>
                <w:sz w:val="20"/>
                <w:szCs w:val="20"/>
              </w:rPr>
              <w:t>课题</w:t>
            </w:r>
          </w:p>
        </w:tc>
        <w:tc>
          <w:tcPr>
            <w:tcW w:w="1939"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kern w:val="0"/>
                <w:sz w:val="20"/>
                <w:szCs w:val="20"/>
              </w:rPr>
            </w:pPr>
            <w:r>
              <w:rPr>
                <w:rFonts w:hint="eastAsia" w:ascii="宋体" w:hAnsi="宋体" w:eastAsia="宋体" w:cs="宋体"/>
                <w:b/>
                <w:bCs/>
                <w:kern w:val="0"/>
                <w:sz w:val="20"/>
                <w:szCs w:val="20"/>
              </w:rPr>
              <w:t>获奖情况</w:t>
            </w:r>
          </w:p>
        </w:tc>
      </w:tr>
      <w:tr>
        <w:tblPrEx>
          <w:tblCellMar>
            <w:top w:w="0" w:type="dxa"/>
            <w:left w:w="108" w:type="dxa"/>
            <w:bottom w:w="0" w:type="dxa"/>
            <w:right w:w="108" w:type="dxa"/>
          </w:tblCellMar>
        </w:tblPrEx>
        <w:trPr>
          <w:trHeight w:val="360" w:hRule="atLeast"/>
          <w:jc w:val="center"/>
        </w:trPr>
        <w:tc>
          <w:tcPr>
            <w:tcW w:w="1005"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1</w:t>
            </w:r>
          </w:p>
        </w:tc>
        <w:tc>
          <w:tcPr>
            <w:tcW w:w="155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周婉</w:t>
            </w:r>
          </w:p>
        </w:tc>
        <w:tc>
          <w:tcPr>
            <w:tcW w:w="3402"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二维动画设计与制作</w:t>
            </w:r>
          </w:p>
        </w:tc>
        <w:tc>
          <w:tcPr>
            <w:tcW w:w="193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一等奖</w:t>
            </w:r>
          </w:p>
        </w:tc>
      </w:tr>
      <w:tr>
        <w:tblPrEx>
          <w:tblCellMar>
            <w:top w:w="0" w:type="dxa"/>
            <w:left w:w="108" w:type="dxa"/>
            <w:bottom w:w="0" w:type="dxa"/>
            <w:right w:w="108" w:type="dxa"/>
          </w:tblCellMar>
        </w:tblPrEx>
        <w:trPr>
          <w:trHeight w:val="360" w:hRule="atLeast"/>
          <w:jc w:val="center"/>
        </w:trPr>
        <w:tc>
          <w:tcPr>
            <w:tcW w:w="1005"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2</w:t>
            </w:r>
          </w:p>
        </w:tc>
        <w:tc>
          <w:tcPr>
            <w:tcW w:w="155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黄敏新</w:t>
            </w:r>
          </w:p>
        </w:tc>
        <w:tc>
          <w:tcPr>
            <w:tcW w:w="3402"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8*8LED灯点阵显示器</w:t>
            </w:r>
          </w:p>
        </w:tc>
        <w:tc>
          <w:tcPr>
            <w:tcW w:w="193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二等奖</w:t>
            </w:r>
          </w:p>
        </w:tc>
      </w:tr>
      <w:tr>
        <w:tblPrEx>
          <w:tblCellMar>
            <w:top w:w="0" w:type="dxa"/>
            <w:left w:w="108" w:type="dxa"/>
            <w:bottom w:w="0" w:type="dxa"/>
            <w:right w:w="108" w:type="dxa"/>
          </w:tblCellMar>
        </w:tblPrEx>
        <w:trPr>
          <w:trHeight w:val="360" w:hRule="atLeast"/>
          <w:jc w:val="center"/>
        </w:trPr>
        <w:tc>
          <w:tcPr>
            <w:tcW w:w="1005"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3</w:t>
            </w:r>
          </w:p>
        </w:tc>
        <w:tc>
          <w:tcPr>
            <w:tcW w:w="155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景继军</w:t>
            </w:r>
          </w:p>
        </w:tc>
        <w:tc>
          <w:tcPr>
            <w:tcW w:w="3402"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钳工</w:t>
            </w:r>
          </w:p>
        </w:tc>
        <w:tc>
          <w:tcPr>
            <w:tcW w:w="193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二等奖</w:t>
            </w:r>
          </w:p>
        </w:tc>
      </w:tr>
      <w:tr>
        <w:tblPrEx>
          <w:tblCellMar>
            <w:top w:w="0" w:type="dxa"/>
            <w:left w:w="108" w:type="dxa"/>
            <w:bottom w:w="0" w:type="dxa"/>
            <w:right w:w="108" w:type="dxa"/>
          </w:tblCellMar>
        </w:tblPrEx>
        <w:trPr>
          <w:trHeight w:val="360" w:hRule="atLeast"/>
          <w:jc w:val="center"/>
        </w:trPr>
        <w:tc>
          <w:tcPr>
            <w:tcW w:w="1005"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4</w:t>
            </w:r>
          </w:p>
        </w:tc>
        <w:tc>
          <w:tcPr>
            <w:tcW w:w="155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黄梓怡</w:t>
            </w:r>
          </w:p>
        </w:tc>
        <w:tc>
          <w:tcPr>
            <w:tcW w:w="3402"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黄河船夫曲</w:t>
            </w:r>
          </w:p>
        </w:tc>
        <w:tc>
          <w:tcPr>
            <w:tcW w:w="193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二等奖</w:t>
            </w:r>
          </w:p>
        </w:tc>
      </w:tr>
      <w:tr>
        <w:tblPrEx>
          <w:tblCellMar>
            <w:top w:w="0" w:type="dxa"/>
            <w:left w:w="108" w:type="dxa"/>
            <w:bottom w:w="0" w:type="dxa"/>
            <w:right w:w="108" w:type="dxa"/>
          </w:tblCellMar>
        </w:tblPrEx>
        <w:trPr>
          <w:trHeight w:val="360" w:hRule="atLeast"/>
          <w:jc w:val="center"/>
        </w:trPr>
        <w:tc>
          <w:tcPr>
            <w:tcW w:w="1005"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5</w:t>
            </w:r>
          </w:p>
        </w:tc>
        <w:tc>
          <w:tcPr>
            <w:tcW w:w="155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吴小红</w:t>
            </w:r>
          </w:p>
        </w:tc>
        <w:tc>
          <w:tcPr>
            <w:tcW w:w="3402"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填写会计凭证</w:t>
            </w:r>
          </w:p>
        </w:tc>
        <w:tc>
          <w:tcPr>
            <w:tcW w:w="193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二等奖</w:t>
            </w:r>
          </w:p>
        </w:tc>
      </w:tr>
      <w:tr>
        <w:tblPrEx>
          <w:tblCellMar>
            <w:top w:w="0" w:type="dxa"/>
            <w:left w:w="108" w:type="dxa"/>
            <w:bottom w:w="0" w:type="dxa"/>
            <w:right w:w="108" w:type="dxa"/>
          </w:tblCellMar>
        </w:tblPrEx>
        <w:trPr>
          <w:trHeight w:val="360" w:hRule="atLeast"/>
          <w:jc w:val="center"/>
        </w:trPr>
        <w:tc>
          <w:tcPr>
            <w:tcW w:w="1005"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6</w:t>
            </w:r>
          </w:p>
        </w:tc>
        <w:tc>
          <w:tcPr>
            <w:tcW w:w="155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林丹琪</w:t>
            </w:r>
          </w:p>
        </w:tc>
        <w:tc>
          <w:tcPr>
            <w:tcW w:w="3402"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色彩静物</w:t>
            </w:r>
          </w:p>
        </w:tc>
        <w:tc>
          <w:tcPr>
            <w:tcW w:w="193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三等奖</w:t>
            </w:r>
          </w:p>
        </w:tc>
      </w:tr>
      <w:tr>
        <w:tblPrEx>
          <w:tblCellMar>
            <w:top w:w="0" w:type="dxa"/>
            <w:left w:w="108" w:type="dxa"/>
            <w:bottom w:w="0" w:type="dxa"/>
            <w:right w:w="108" w:type="dxa"/>
          </w:tblCellMar>
        </w:tblPrEx>
        <w:trPr>
          <w:trHeight w:val="360" w:hRule="atLeast"/>
          <w:jc w:val="center"/>
        </w:trPr>
        <w:tc>
          <w:tcPr>
            <w:tcW w:w="1005"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7</w:t>
            </w:r>
          </w:p>
        </w:tc>
        <w:tc>
          <w:tcPr>
            <w:tcW w:w="155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马卫超</w:t>
            </w:r>
          </w:p>
        </w:tc>
        <w:tc>
          <w:tcPr>
            <w:tcW w:w="3402"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四轮定位</w:t>
            </w:r>
          </w:p>
        </w:tc>
        <w:tc>
          <w:tcPr>
            <w:tcW w:w="1939"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0"/>
                <w:sz w:val="20"/>
                <w:szCs w:val="20"/>
              </w:rPr>
            </w:pPr>
            <w:r>
              <w:rPr>
                <w:rFonts w:hint="eastAsia" w:ascii="宋体" w:hAnsi="宋体" w:eastAsia="宋体" w:cs="宋体"/>
                <w:kern w:val="0"/>
                <w:sz w:val="20"/>
                <w:szCs w:val="20"/>
              </w:rPr>
              <w:t>三等奖</w:t>
            </w:r>
          </w:p>
        </w:tc>
      </w:tr>
    </w:tbl>
    <w:p>
      <w:pPr>
        <w:spacing w:line="360" w:lineRule="auto"/>
        <w:rPr>
          <w:rFonts w:ascii="宋体" w:hAnsi="宋体"/>
          <w:color w:val="000000"/>
          <w:sz w:val="24"/>
        </w:rPr>
      </w:pPr>
    </w:p>
    <w:p>
      <w:pPr>
        <w:pStyle w:val="4"/>
        <w:numPr>
          <w:ilvl w:val="0"/>
          <w:numId w:val="19"/>
        </w:numPr>
        <w:bidi w:val="0"/>
        <w:ind w:left="245" w:leftChars="0" w:firstLine="475" w:firstLineChars="169"/>
        <w:rPr>
          <w:rFonts w:hint="eastAsia"/>
        </w:rPr>
      </w:pPr>
      <w:r>
        <w:rPr>
          <w:rFonts w:hint="eastAsia"/>
        </w:rPr>
        <w:t>积极参加上级部门举办的各项培训交流活动和教学竞赛活动</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2020年8月31日至12月31日，刘洁纯老师到广东机电职业技术学院参加中职学校优秀青年教师教科研能力提升四位一体育人模式方向（2020国培）培训工作；</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 xml:space="preserve"> 2020年11月10日至12月8日，林壁芬老师到浙江宁波参加2020年中职学校骨干教师教育管理能力提升培训班培训（国培）；</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2020年11月30日-12月4日学校曾骅副校长、赵育生科长、袁文钦科长带领相关专业老师等一行7人奔赴佛山、番禺、广州、增城、河源五地高职院校，进行2021年中高职贯通培养三二分段合作项目洽谈交流。</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2020年12月4-5日，陈思曼、郑丽两位老师到广东江门幼儿师范高等专科学校参加广东省首届中等职业学校幼儿保育专业培训班培训；</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2020年12月10-13日，李妙霞老师到广州参加广东省中职学校心理健康教育能力培训；</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2020年12月15日至24日，吴麦奇、林伟生、周婉、林敏慧、陈桂玲五位老师到广州参加2020年虚拟现实（VR）核心技术紧缺人才培训；</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2020年12月23日，在榕城区教育局林敬辉副局长、揭阳捷和职业技术学校方惠元校长的带领下，学校副校长林丽娜、学校招生就业科科长赵育生、副科长洪伟鹏以及实训与校企合作办公室方初升主任一行六人前往捷和电机制品（深圳）有限公司开展校企合作洽谈工作。</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根据《省教育厅等部门关于做好2020年职业教育活动周相关工作的通知》精神和市区教育局工作要求，结合我校实际，切实开展职业教育活动周系列活动之教师公开课示范课教学活动，充分展示了我校职业教育特色和魅力，全面提高教师的专业素养和专业建设能力，增强教师设计、组织、调控课堂教学的能力，加强教师的教学交流，实现优势互补、切磋教艺，并加速我校教师的专业发展和成长，全面提升教师教学水平。本次“职业教育活动周”系列活动之教师公开示范课由各教研组推荐1-2名有授课经验且授课效果良好的教师进行公开示范课。各教师备课认真，态度端正；教学目标定位准确，师生配合融洽，课堂气氛活跃，授课效果显着，充分展示了我校教师精湛的教学技能和良好的教学水平。</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第一学期第10周星期三第5、第6节，辜泽栋、蔡灼盛两位老师分别举行课题为“篮球双手胸前传接球”和“篮球双手胸前击地传接球”的区级体育公开课，两位老师教学设计新颖，课堂内容丰富，教学态度严谨认真，课堂安全意识强，不同的教学风格激发了学生自主学习、练习的兴趣，充分体现了学科特色。</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2021年4月23-24日，林丽娜副校长到广州参加广东省中职公共基础课教学指委会成立大会暨第一次工作会议。</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2021年5月6-13日，林丽娜副校长到北京师范大学参加“揭阳名校长工程——卓越中学校长研修班第三次集中学习。</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2021年5月13-16日，周婉书记、高梓和老师带领王荣城、张焕然两位学生到广州参加广东省技能大赛（中职组）“短视频技术与应用” 赛项。</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2021年5月14-16日，由官丽萍老师及学生共2人到东莞市电子商贸学校参加2020-2021年度广东省职业院校学生专业技能大赛广告设计与制作赛项。</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2021年5月16-21日，郑文焕、郑国彬两位老师到广州参加由广东省餐饮技师协会组织的2021年餐饮类1+X证书第一期初级师资培训。</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2021年5月20-22日，卢文升副校长、王晓鹏老师到东莞参加广东省中职电子信息与通信类教指委会议。</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2021年5月20-22日，徐晓曼、倪晓玲两位老师到广州参加全国中等职业学校幼儿保育专业教师能力提升培训会议。</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2021年5月21-24日，林伟生、柯文荣两位老师带领2019级音乐专业学生到湛江参加广东省中等职业技术教育专业技能考试。</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2021年5月23-28日，潘润、黄伟楠两位老师到广州参加由广东省餐饮技师协会组织的2021年餐饮类1+X证书第一期中级师资培训。</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佘燕杰科长、周婉书记和高梓和老师录制的《学党史守初心，勇担当践使命——二维动画作品设计与制作教学献礼建党100年》作品参加广东省职业院校技能大赛教学能力（专业技能课程二组）比赛。</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思想政治科老师林壁芬录制的《中国特色社会主义政治》参加揭阳市教学展示交流活动，并被揭阳市推荐参加广东省教育厅关于举办“同上一堂党史课”广东省大中小学思政课一体化教学展示交流活动。</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语文科老师谢静辉录制的《沁园春﹒长沙》和思想政治科老师林壁芬录制的《中国特色社会主义政治》参加2021年揭阳市“百佳红色课堂”评选活动。</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洪碧苑、柯文荣、纪宇祺三位老师参加揭阳市首届美育教师基本功比赛，其中洪碧苑、柯文荣两位老师参加中职学校组的音乐项目，纪宇祺老师参加中职学校组的舞蹈项目。</w:t>
      </w:r>
    </w:p>
    <w:p>
      <w:pPr>
        <w:pStyle w:val="5"/>
        <w:keepNext w:val="0"/>
        <w:keepLines w:val="0"/>
        <w:pageBreakBefore w:val="0"/>
        <w:widowControl w:val="0"/>
        <w:numPr>
          <w:ilvl w:val="0"/>
          <w:numId w:val="20"/>
        </w:numPr>
        <w:tabs>
          <w:tab w:val="left" w:pos="240"/>
          <w:tab w:val="clear" w:pos="0"/>
        </w:tabs>
        <w:kinsoku/>
        <w:wordWrap/>
        <w:overflowPunct/>
        <w:topLinePunct w:val="0"/>
        <w:autoSpaceDE/>
        <w:autoSpaceDN/>
        <w:bidi w:val="0"/>
        <w:adjustRightInd/>
        <w:snapToGrid/>
        <w:ind w:left="240" w:leftChars="100" w:firstLine="480" w:firstLineChars="200"/>
        <w:textAlignment w:val="auto"/>
        <w:rPr>
          <w:rFonts w:hint="eastAsia"/>
        </w:rPr>
      </w:pPr>
      <w:r>
        <w:rPr>
          <w:rFonts w:hint="eastAsia"/>
        </w:rPr>
        <w:t>林晓如老师指导余采燕、苏妙玉、林敏等13位同学共8件美术作品参加揭阳市第七届中小学生艺术展演活动。</w:t>
      </w:r>
    </w:p>
    <w:p>
      <w:pPr>
        <w:pStyle w:val="3"/>
        <w:numPr>
          <w:ilvl w:val="0"/>
          <w:numId w:val="18"/>
        </w:numPr>
        <w:bidi w:val="0"/>
        <w:ind w:left="60" w:leftChars="0" w:firstLine="420" w:firstLineChars="0"/>
        <w:rPr>
          <w:rFonts w:hint="eastAsia"/>
          <w:b/>
          <w:lang w:val="en-US" w:eastAsia="zh-CN"/>
        </w:rPr>
      </w:pPr>
      <w:bookmarkStart w:id="29" w:name="_Toc25266"/>
      <w:r>
        <w:rPr>
          <w:rFonts w:hint="eastAsia"/>
          <w:b/>
          <w:lang w:val="en-US" w:eastAsia="zh-CN"/>
        </w:rPr>
        <w:t>课程建设情况</w:t>
      </w:r>
      <w:bookmarkEnd w:id="29"/>
    </w:p>
    <w:p>
      <w:pPr>
        <w:pStyle w:val="4"/>
        <w:numPr>
          <w:ilvl w:val="0"/>
          <w:numId w:val="0"/>
        </w:numPr>
        <w:bidi w:val="0"/>
        <w:ind w:leftChars="200"/>
      </w:pPr>
      <w:r>
        <w:rPr>
          <w:rFonts w:hint="eastAsia"/>
          <w:lang w:val="en-US" w:eastAsia="zh-CN"/>
        </w:rPr>
        <w:t>1.</w:t>
      </w:r>
      <w:r>
        <w:rPr>
          <w:rFonts w:hint="eastAsia"/>
        </w:rPr>
        <w:t>加强专业和课程建设，适应技术的发展和职业岗位的需求</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加强专业和课程建设，积极组织专业教师进行社会调研，广泛听取行业专业人士和企业能工巧匠意见，提升学校开设专业的内涵，修订专业新的人才培养方案，以适应技术的发展和新职业岗位的需求，特别是围绕“互联网+教育”行动和《中国制造2025》《中国教育现代化2035》《国家职业教育改革实施方案》《教育部关于职业院校专业人才培养方案制订与实施工作的指导意见》（教职成〔2019〕13号）等要求，适应新技术、新模式、新业态发展实际，对接国家教学标准，优化专业人才培养方案，创新人才培养模式，不断提高办学水平和培养质量。</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加强中高职衔接三二分段专业建设</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中高职联合办学模式打破了中职学生升学的“天花板”限制，充分发挥了高职院校优势品牌专业的吸引力，激发了学生报读中职学校的热情，带动中职学校的专业建设和发展，有效地促进了中职学校办学质量的提升。为了满足学生升学的现实需求和愿望，学校加大与广东农工商职业技术学院、揭阳职业技术学院和广东文艺职业学院联合办学的力度，学校以电子与信息技术、学前教育、电子商务、机电技术应用、音乐、美术设计与制作和计算机动漫与游戏制作等优势专业与高职院校进行联合办学，通过中高职衔接专业人才培养方案研讨等形式加强双方交流合作，共同商定人才培养方案和课程计划。明确中职阶段人才培养重点是基础知识和技能以及基本岗位能力，最终形成对职业的初步认知；高职阶段人才培养重点是比较系统的专业理论和职业能力。本学期，学校严格按照人才培养方案和课程计划开展教学、实训、考核，确保联合办学的良性发展。</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根据教育部发布的有关自2020年起，中职学校不再设置学前教育专业，并于今明两年将学前教育专业分批转设为幼儿保育或相关专业的通知，我校及早筹划，教务科召集学前教育专业老师对幼儿保育人才培养方案的制定进行研讨。</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了加强与高职院校联合办学的力度，学校分别与江门职业技术学院、广东环境保护职业技术学院和广东南华工商学院洽谈幼儿保育专业、中餐烹饪与营养膳食专业和计算机应用专业、会计专业三二分段联合办学事宜，为相关四个专业开展中高职衔接做好准备。</w:t>
      </w:r>
    </w:p>
    <w:p>
      <w:pPr>
        <w:pStyle w:val="4"/>
        <w:numPr>
          <w:ilvl w:val="0"/>
          <w:numId w:val="0"/>
        </w:numPr>
        <w:bidi w:val="0"/>
        <w:ind w:leftChars="200"/>
        <w:rPr>
          <w:rFonts w:hint="eastAsia"/>
        </w:rPr>
      </w:pPr>
      <w:r>
        <w:rPr>
          <w:rFonts w:hint="eastAsia"/>
          <w:lang w:val="en-US" w:eastAsia="zh-CN"/>
        </w:rPr>
        <w:t>2.</w:t>
      </w:r>
      <w:r>
        <w:rPr>
          <w:rFonts w:hint="eastAsia"/>
        </w:rPr>
        <w:t>紧跟时代步伐，服务区域经济，搞好专业群建设</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落实《国家职业教育改革实施方案》和《广东省职业教育“扩容、提质、强服务”三年行动计划（2019-2021年）》，聚焦重点问题和关键环节，把握基本办学指向，全面提升职业教育发展水平，增强服务经济社会发展能力，为高质量发展提供技术技能人才支撑。学校立足现有专业建设现状，谋划学校专业建设的未来与发展，深挖优势，打造特色，在传统优势专业的基础上依托区域的重点建设项目、文化特色，紧密对接产业链、创新链，打造教育艺术和信息服务两个专业群，力促学校专业内涵发展，推动学校教育教学高质量发展。</w:t>
      </w:r>
    </w:p>
    <w:p>
      <w:pPr>
        <w:pStyle w:val="3"/>
        <w:numPr>
          <w:ilvl w:val="0"/>
          <w:numId w:val="18"/>
        </w:numPr>
        <w:bidi w:val="0"/>
        <w:ind w:left="60" w:leftChars="0" w:firstLine="420" w:firstLineChars="0"/>
        <w:rPr>
          <w:rFonts w:hint="eastAsia"/>
          <w:b/>
          <w:lang w:val="en-US" w:eastAsia="zh-CN"/>
        </w:rPr>
      </w:pPr>
      <w:bookmarkStart w:id="30" w:name="_Toc22465"/>
      <w:r>
        <w:rPr>
          <w:rFonts w:hint="eastAsia"/>
          <w:b/>
          <w:lang w:val="en-US" w:eastAsia="zh-CN"/>
        </w:rPr>
        <w:t>人才培养模式改革</w:t>
      </w:r>
      <w:bookmarkEnd w:id="30"/>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根据教育部发布的有关自2020年起，中职学校不再设置学前教育专业，并于今明两年将学前教育专业分批转设为幼儿保育或相关专业的通知，我校及早筹划，教务科召集学前教育专业老师对幼儿保育人才培养方案的制定进行多次研讨，形成人才培养的基本方案。</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了加强与高职院校联合办学的力度，学校分别与广东江门幼儿师范高等专科学校、广东环境保护工程职业学院和广东南华工商职业学院洽谈幼儿保育专业、中餐烹饪专业和计算机应用专业、会计事务专业三二分段联合办学事宜，并与对接高职院校共同制定人才培养方案和转段考核方案，为相关四个专业开展中高职衔接做好准备。</w:t>
      </w:r>
    </w:p>
    <w:tbl>
      <w:tblPr>
        <w:tblStyle w:val="16"/>
        <w:tblW w:w="9215" w:type="dxa"/>
        <w:tblInd w:w="-318" w:type="dxa"/>
        <w:tblLayout w:type="fixed"/>
        <w:tblCellMar>
          <w:top w:w="0" w:type="dxa"/>
          <w:left w:w="108" w:type="dxa"/>
          <w:bottom w:w="0" w:type="dxa"/>
          <w:right w:w="108" w:type="dxa"/>
        </w:tblCellMar>
      </w:tblPr>
      <w:tblGrid>
        <w:gridCol w:w="710"/>
        <w:gridCol w:w="1134"/>
        <w:gridCol w:w="1559"/>
        <w:gridCol w:w="1168"/>
        <w:gridCol w:w="817"/>
        <w:gridCol w:w="1275"/>
        <w:gridCol w:w="993"/>
        <w:gridCol w:w="850"/>
        <w:gridCol w:w="709"/>
      </w:tblGrid>
      <w:tr>
        <w:tblPrEx>
          <w:tblCellMar>
            <w:top w:w="0" w:type="dxa"/>
            <w:left w:w="108" w:type="dxa"/>
            <w:bottom w:w="0" w:type="dxa"/>
            <w:right w:w="108" w:type="dxa"/>
          </w:tblCellMar>
        </w:tblPrEx>
        <w:trPr>
          <w:trHeight w:val="890" w:hRule="atLeast"/>
        </w:trPr>
        <w:tc>
          <w:tcPr>
            <w:tcW w:w="9215" w:type="dxa"/>
            <w:gridSpan w:val="9"/>
            <w:tcBorders>
              <w:top w:val="nil"/>
              <w:left w:val="nil"/>
              <w:bottom w:val="single" w:color="auto" w:sz="4" w:space="0"/>
              <w:right w:val="nil"/>
            </w:tcBorders>
            <w:vAlign w:val="center"/>
          </w:tcPr>
          <w:p>
            <w:pPr>
              <w:spacing w:line="360" w:lineRule="auto"/>
              <w:ind w:left="0" w:leftChars="0"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2021年高职院校-揭阳捷和职校中高职贯通培养三二分段试点名单</w:t>
            </w:r>
          </w:p>
        </w:tc>
      </w:tr>
      <w:tr>
        <w:tblPrEx>
          <w:tblCellMar>
            <w:top w:w="0" w:type="dxa"/>
            <w:left w:w="108" w:type="dxa"/>
            <w:bottom w:w="0" w:type="dxa"/>
            <w:right w:w="108" w:type="dxa"/>
          </w:tblCellMar>
        </w:tblPrEx>
        <w:trPr>
          <w:trHeight w:val="420" w:hRule="atLeast"/>
        </w:trPr>
        <w:tc>
          <w:tcPr>
            <w:tcW w:w="710"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序号</w:t>
            </w:r>
          </w:p>
        </w:tc>
        <w:tc>
          <w:tcPr>
            <w:tcW w:w="1134"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高职学段2年教学地点</w:t>
            </w:r>
          </w:p>
        </w:tc>
        <w:tc>
          <w:tcPr>
            <w:tcW w:w="1559"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高校名称</w:t>
            </w:r>
          </w:p>
        </w:tc>
        <w:tc>
          <w:tcPr>
            <w:tcW w:w="1168"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高职专业名称（新）</w:t>
            </w:r>
          </w:p>
        </w:tc>
        <w:tc>
          <w:tcPr>
            <w:tcW w:w="817"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高职专业代码（新）</w:t>
            </w:r>
          </w:p>
        </w:tc>
        <w:tc>
          <w:tcPr>
            <w:tcW w:w="1275"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对口中职学校名称</w:t>
            </w:r>
          </w:p>
        </w:tc>
        <w:tc>
          <w:tcPr>
            <w:tcW w:w="993"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中职专业名称（新）</w:t>
            </w:r>
          </w:p>
        </w:tc>
        <w:tc>
          <w:tcPr>
            <w:tcW w:w="850"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中职专业代码（新）</w:t>
            </w:r>
          </w:p>
        </w:tc>
        <w:tc>
          <w:tcPr>
            <w:tcW w:w="709"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招生计划</w:t>
            </w:r>
          </w:p>
        </w:tc>
      </w:tr>
      <w:tr>
        <w:tblPrEx>
          <w:tblCellMar>
            <w:top w:w="0" w:type="dxa"/>
            <w:left w:w="108" w:type="dxa"/>
            <w:bottom w:w="0" w:type="dxa"/>
            <w:right w:w="108" w:type="dxa"/>
          </w:tblCellMar>
        </w:tblPrEx>
        <w:trPr>
          <w:trHeight w:val="420" w:hRule="atLeast"/>
        </w:trPr>
        <w:tc>
          <w:tcPr>
            <w:tcW w:w="71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155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11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8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127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993"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85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r>
      <w:tr>
        <w:tblPrEx>
          <w:tblCellMar>
            <w:top w:w="0" w:type="dxa"/>
            <w:left w:w="108" w:type="dxa"/>
            <w:bottom w:w="0" w:type="dxa"/>
            <w:right w:w="108" w:type="dxa"/>
          </w:tblCellMar>
        </w:tblPrEx>
        <w:trPr>
          <w:trHeight w:val="312" w:hRule="atLeast"/>
        </w:trPr>
        <w:tc>
          <w:tcPr>
            <w:tcW w:w="71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155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1168"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8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127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993"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85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c>
          <w:tcPr>
            <w:tcW w:w="70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p>
        </w:tc>
      </w:tr>
      <w:tr>
        <w:tblPrEx>
          <w:tblCellMar>
            <w:top w:w="0" w:type="dxa"/>
            <w:left w:w="108" w:type="dxa"/>
            <w:bottom w:w="0" w:type="dxa"/>
            <w:right w:w="108" w:type="dxa"/>
          </w:tblCellMar>
        </w:tblPrEx>
        <w:trPr>
          <w:trHeight w:val="823" w:hRule="atLeast"/>
        </w:trPr>
        <w:tc>
          <w:tcPr>
            <w:tcW w:w="71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1</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高职院校</w:t>
            </w:r>
          </w:p>
        </w:tc>
        <w:tc>
          <w:tcPr>
            <w:tcW w:w="155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揭阳职业技术学院</w:t>
            </w:r>
          </w:p>
        </w:tc>
        <w:tc>
          <w:tcPr>
            <w:tcW w:w="11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机电一体化技术</w:t>
            </w:r>
          </w:p>
        </w:tc>
        <w:tc>
          <w:tcPr>
            <w:tcW w:w="81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460301</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揭阳捷和职业技术学校</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机电技术应用</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660301</w:t>
            </w:r>
          </w:p>
        </w:tc>
        <w:tc>
          <w:tcPr>
            <w:tcW w:w="70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30</w:t>
            </w:r>
          </w:p>
        </w:tc>
      </w:tr>
      <w:tr>
        <w:tblPrEx>
          <w:tblCellMar>
            <w:top w:w="0" w:type="dxa"/>
            <w:left w:w="108" w:type="dxa"/>
            <w:bottom w:w="0" w:type="dxa"/>
            <w:right w:w="108" w:type="dxa"/>
          </w:tblCellMar>
        </w:tblPrEx>
        <w:trPr>
          <w:trHeight w:val="823" w:hRule="atLeast"/>
        </w:trPr>
        <w:tc>
          <w:tcPr>
            <w:tcW w:w="71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2</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高职院校</w:t>
            </w:r>
          </w:p>
        </w:tc>
        <w:tc>
          <w:tcPr>
            <w:tcW w:w="155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广东农工商职业技术学院</w:t>
            </w:r>
          </w:p>
        </w:tc>
        <w:tc>
          <w:tcPr>
            <w:tcW w:w="11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电子信息工程技术</w:t>
            </w:r>
          </w:p>
        </w:tc>
        <w:tc>
          <w:tcPr>
            <w:tcW w:w="81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510101</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揭阳捷和职业技术学校</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电子信息技术</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710101</w:t>
            </w:r>
          </w:p>
        </w:tc>
        <w:tc>
          <w:tcPr>
            <w:tcW w:w="70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30</w:t>
            </w:r>
          </w:p>
        </w:tc>
      </w:tr>
      <w:tr>
        <w:tblPrEx>
          <w:tblCellMar>
            <w:top w:w="0" w:type="dxa"/>
            <w:left w:w="108" w:type="dxa"/>
            <w:bottom w:w="0" w:type="dxa"/>
            <w:right w:w="108" w:type="dxa"/>
          </w:tblCellMar>
        </w:tblPrEx>
        <w:trPr>
          <w:trHeight w:val="823" w:hRule="atLeast"/>
        </w:trPr>
        <w:tc>
          <w:tcPr>
            <w:tcW w:w="71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3</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高职院校</w:t>
            </w:r>
          </w:p>
        </w:tc>
        <w:tc>
          <w:tcPr>
            <w:tcW w:w="155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广东南华工商职业学院</w:t>
            </w:r>
          </w:p>
        </w:tc>
        <w:tc>
          <w:tcPr>
            <w:tcW w:w="11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计算机网络技术</w:t>
            </w:r>
          </w:p>
        </w:tc>
        <w:tc>
          <w:tcPr>
            <w:tcW w:w="81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510202</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揭阳捷和职业技术学校</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计算机应用</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710201</w:t>
            </w:r>
          </w:p>
        </w:tc>
        <w:tc>
          <w:tcPr>
            <w:tcW w:w="70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40</w:t>
            </w:r>
          </w:p>
        </w:tc>
      </w:tr>
      <w:tr>
        <w:tblPrEx>
          <w:tblCellMar>
            <w:top w:w="0" w:type="dxa"/>
            <w:left w:w="108" w:type="dxa"/>
            <w:bottom w:w="0" w:type="dxa"/>
            <w:right w:w="108" w:type="dxa"/>
          </w:tblCellMar>
        </w:tblPrEx>
        <w:trPr>
          <w:trHeight w:val="823" w:hRule="atLeast"/>
        </w:trPr>
        <w:tc>
          <w:tcPr>
            <w:tcW w:w="71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4</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高职院校</w:t>
            </w:r>
          </w:p>
        </w:tc>
        <w:tc>
          <w:tcPr>
            <w:tcW w:w="155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广东南华工商职业学院</w:t>
            </w:r>
          </w:p>
        </w:tc>
        <w:tc>
          <w:tcPr>
            <w:tcW w:w="11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大数据与财务管理</w:t>
            </w:r>
          </w:p>
        </w:tc>
        <w:tc>
          <w:tcPr>
            <w:tcW w:w="81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530301</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揭阳捷和职业技术学校</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会计事务</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730301</w:t>
            </w:r>
          </w:p>
        </w:tc>
        <w:tc>
          <w:tcPr>
            <w:tcW w:w="70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30</w:t>
            </w:r>
          </w:p>
        </w:tc>
      </w:tr>
      <w:tr>
        <w:tblPrEx>
          <w:tblCellMar>
            <w:top w:w="0" w:type="dxa"/>
            <w:left w:w="108" w:type="dxa"/>
            <w:bottom w:w="0" w:type="dxa"/>
            <w:right w:w="108" w:type="dxa"/>
          </w:tblCellMar>
        </w:tblPrEx>
        <w:trPr>
          <w:trHeight w:val="823" w:hRule="atLeast"/>
        </w:trPr>
        <w:tc>
          <w:tcPr>
            <w:tcW w:w="71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5</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高职院校</w:t>
            </w:r>
          </w:p>
        </w:tc>
        <w:tc>
          <w:tcPr>
            <w:tcW w:w="155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揭阳职业技术学院</w:t>
            </w:r>
          </w:p>
        </w:tc>
        <w:tc>
          <w:tcPr>
            <w:tcW w:w="11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电子商务</w:t>
            </w:r>
          </w:p>
        </w:tc>
        <w:tc>
          <w:tcPr>
            <w:tcW w:w="81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530701</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揭阳捷和职业技术学校</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电子商务</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730701</w:t>
            </w:r>
          </w:p>
        </w:tc>
        <w:tc>
          <w:tcPr>
            <w:tcW w:w="70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100</w:t>
            </w:r>
          </w:p>
        </w:tc>
      </w:tr>
      <w:tr>
        <w:tblPrEx>
          <w:tblCellMar>
            <w:top w:w="0" w:type="dxa"/>
            <w:left w:w="108" w:type="dxa"/>
            <w:bottom w:w="0" w:type="dxa"/>
            <w:right w:w="108" w:type="dxa"/>
          </w:tblCellMar>
        </w:tblPrEx>
        <w:trPr>
          <w:trHeight w:val="823" w:hRule="atLeast"/>
        </w:trPr>
        <w:tc>
          <w:tcPr>
            <w:tcW w:w="71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6</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高职院校</w:t>
            </w:r>
          </w:p>
        </w:tc>
        <w:tc>
          <w:tcPr>
            <w:tcW w:w="155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广东环境保护工程职业学院</w:t>
            </w:r>
          </w:p>
        </w:tc>
        <w:tc>
          <w:tcPr>
            <w:tcW w:w="11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烹饪工艺与营养</w:t>
            </w:r>
          </w:p>
        </w:tc>
        <w:tc>
          <w:tcPr>
            <w:tcW w:w="81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540202</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揭阳捷和职业技术学校</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中餐烹饪</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740201</w:t>
            </w:r>
          </w:p>
        </w:tc>
        <w:tc>
          <w:tcPr>
            <w:tcW w:w="70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40</w:t>
            </w:r>
          </w:p>
        </w:tc>
      </w:tr>
      <w:tr>
        <w:tblPrEx>
          <w:tblCellMar>
            <w:top w:w="0" w:type="dxa"/>
            <w:left w:w="108" w:type="dxa"/>
            <w:bottom w:w="0" w:type="dxa"/>
            <w:right w:w="108" w:type="dxa"/>
          </w:tblCellMar>
        </w:tblPrEx>
        <w:trPr>
          <w:trHeight w:val="823" w:hRule="atLeast"/>
        </w:trPr>
        <w:tc>
          <w:tcPr>
            <w:tcW w:w="71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7</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高职院校</w:t>
            </w:r>
          </w:p>
        </w:tc>
        <w:tc>
          <w:tcPr>
            <w:tcW w:w="155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广东文艺职业学院</w:t>
            </w:r>
          </w:p>
        </w:tc>
        <w:tc>
          <w:tcPr>
            <w:tcW w:w="11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游戏艺术设计</w:t>
            </w:r>
          </w:p>
        </w:tc>
        <w:tc>
          <w:tcPr>
            <w:tcW w:w="81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550109</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揭阳捷和职业技术学校</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动漫与游戏制作</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760204</w:t>
            </w:r>
          </w:p>
        </w:tc>
        <w:tc>
          <w:tcPr>
            <w:tcW w:w="70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40</w:t>
            </w:r>
          </w:p>
        </w:tc>
      </w:tr>
      <w:tr>
        <w:tblPrEx>
          <w:tblCellMar>
            <w:top w:w="0" w:type="dxa"/>
            <w:left w:w="108" w:type="dxa"/>
            <w:bottom w:w="0" w:type="dxa"/>
            <w:right w:w="108" w:type="dxa"/>
          </w:tblCellMar>
        </w:tblPrEx>
        <w:trPr>
          <w:trHeight w:val="823" w:hRule="atLeast"/>
        </w:trPr>
        <w:tc>
          <w:tcPr>
            <w:tcW w:w="71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8</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高职院校</w:t>
            </w:r>
          </w:p>
        </w:tc>
        <w:tc>
          <w:tcPr>
            <w:tcW w:w="155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广东江门幼儿师范高等专科学校</w:t>
            </w:r>
          </w:p>
        </w:tc>
        <w:tc>
          <w:tcPr>
            <w:tcW w:w="116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学前教育</w:t>
            </w:r>
          </w:p>
        </w:tc>
        <w:tc>
          <w:tcPr>
            <w:tcW w:w="81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570102K</w:t>
            </w:r>
          </w:p>
        </w:tc>
        <w:tc>
          <w:tcPr>
            <w:tcW w:w="127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揭阳捷和职业技术学校</w:t>
            </w:r>
          </w:p>
        </w:tc>
        <w:tc>
          <w:tcPr>
            <w:tcW w:w="99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幼儿保育</w:t>
            </w:r>
          </w:p>
        </w:tc>
        <w:tc>
          <w:tcPr>
            <w:tcW w:w="8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770101</w:t>
            </w:r>
          </w:p>
        </w:tc>
        <w:tc>
          <w:tcPr>
            <w:tcW w:w="709"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kern w:val="0"/>
                <w:sz w:val="20"/>
                <w:szCs w:val="20"/>
              </w:rPr>
            </w:pPr>
            <w:r>
              <w:rPr>
                <w:rFonts w:hint="eastAsia" w:ascii="宋体" w:hAnsi="宋体" w:cs="宋体"/>
                <w:kern w:val="0"/>
                <w:sz w:val="20"/>
                <w:szCs w:val="20"/>
              </w:rPr>
              <w:t>50</w:t>
            </w:r>
          </w:p>
        </w:tc>
      </w:tr>
    </w:tbl>
    <w:p>
      <w:pPr>
        <w:pStyle w:val="3"/>
        <w:numPr>
          <w:ilvl w:val="0"/>
          <w:numId w:val="18"/>
        </w:numPr>
        <w:bidi w:val="0"/>
        <w:ind w:left="60" w:leftChars="0" w:firstLine="420" w:firstLineChars="0"/>
        <w:rPr>
          <w:rFonts w:hint="eastAsia"/>
          <w:b/>
          <w:lang w:val="en-US" w:eastAsia="zh-CN"/>
        </w:rPr>
      </w:pPr>
      <w:bookmarkStart w:id="31" w:name="_Toc5261"/>
      <w:r>
        <w:rPr>
          <w:rFonts w:hint="eastAsia"/>
          <w:b/>
          <w:lang w:val="en-US" w:eastAsia="zh-CN"/>
        </w:rPr>
        <w:t>教科研情况</w:t>
      </w:r>
      <w:bookmarkEnd w:id="31"/>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学校重视开展教学科研课题研究，把提高教师的教育教学科研素质作为推进学校事业发展的一个重要战略举措。2017年学校申报的四个课题研究已顺利结项、结题，成效显著。</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教学研究的步伐永不停息，2020年我校又申报六个课程建设和教学改革方面的课题，六个课题分别是：</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lang w:val="en-US" w:eastAsia="zh-CN"/>
        </w:rPr>
        <w:t>1.</w:t>
      </w:r>
      <w:r>
        <w:rPr>
          <w:rFonts w:hint="eastAsia" w:ascii="宋体" w:hAnsi="宋体" w:eastAsia="宋体" w:cs="宋体"/>
          <w:color w:val="000000"/>
          <w:sz w:val="24"/>
        </w:rPr>
        <w:t>由林丽娜副校长担任主持人的课题《中职学校学生健全人格培养研究》；</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lang w:val="en-US" w:eastAsia="zh-CN"/>
        </w:rPr>
        <w:t>2.</w:t>
      </w:r>
      <w:r>
        <w:rPr>
          <w:rFonts w:hint="eastAsia" w:ascii="宋体" w:hAnsi="宋体" w:eastAsia="宋体" w:cs="宋体"/>
          <w:color w:val="000000"/>
          <w:sz w:val="24"/>
        </w:rPr>
        <w:t>由夏广通副主任担任主持人的课题《数字校园下中职信息化建设的实施与研究》；</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lang w:val="en-US" w:eastAsia="zh-CN"/>
        </w:rPr>
        <w:t>3.</w:t>
      </w:r>
      <w:r>
        <w:rPr>
          <w:rFonts w:hint="eastAsia" w:ascii="宋体" w:hAnsi="宋体" w:eastAsia="宋体" w:cs="宋体"/>
          <w:color w:val="000000"/>
          <w:sz w:val="24"/>
        </w:rPr>
        <w:t>由佘燕杰副科长担任主持人的课题《专业建设和人才培养贯通提质》；</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lang w:val="en-US" w:eastAsia="zh-CN"/>
        </w:rPr>
        <w:t>4.</w:t>
      </w:r>
      <w:r>
        <w:rPr>
          <w:rFonts w:hint="eastAsia" w:ascii="宋体" w:hAnsi="宋体" w:eastAsia="宋体" w:cs="宋体"/>
          <w:color w:val="000000"/>
          <w:sz w:val="24"/>
        </w:rPr>
        <w:t>由周婉担书记任主持人的课题《基于工作过程导向的动漫设计类中职技能竞赛与教学融合的实践与研究》；</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lang w:val="en-US" w:eastAsia="zh-CN"/>
        </w:rPr>
        <w:t>5.</w:t>
      </w:r>
      <w:r>
        <w:rPr>
          <w:rFonts w:hint="eastAsia" w:ascii="宋体" w:hAnsi="宋体" w:eastAsia="宋体" w:cs="宋体"/>
          <w:color w:val="000000"/>
          <w:sz w:val="24"/>
        </w:rPr>
        <w:t>由郑文焕老师担任主持人的课题《中职烹饪专业实操课翻转课堂教学改革研究》；</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lang w:val="en-US" w:eastAsia="zh-CN"/>
        </w:rPr>
        <w:t>6.</w:t>
      </w:r>
      <w:r>
        <w:rPr>
          <w:rFonts w:hint="eastAsia" w:ascii="宋体" w:hAnsi="宋体" w:eastAsia="宋体" w:cs="宋体"/>
          <w:color w:val="000000"/>
          <w:sz w:val="24"/>
        </w:rPr>
        <w:t>由洪碧苑老师担任主持人的《中职学前教育专业钢琴教学改革与实践的研究》。</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以上6个课题于2020年11月4日被广东省教育厅确立为2020年中等职业教育教学改革立项项目，这是学校继广东省十三五规划重点科研课题优秀结题后又一次高规格的科研新起航。</w:t>
      </w:r>
    </w:p>
    <w:p>
      <w:pPr>
        <w:pStyle w:val="2"/>
        <w:bidi w:val="0"/>
        <w:ind w:left="60" w:leftChars="0" w:firstLine="481" w:firstLineChars="0"/>
        <w:rPr>
          <w:rFonts w:hint="eastAsia"/>
          <w:b/>
          <w:lang w:val="en-US" w:eastAsia="zh-CN"/>
        </w:rPr>
      </w:pPr>
      <w:bookmarkStart w:id="32" w:name="_Toc17198"/>
      <w:r>
        <w:rPr>
          <w:rFonts w:hint="eastAsia"/>
          <w:b/>
          <w:lang w:val="en-US" w:eastAsia="zh-CN"/>
        </w:rPr>
        <w:t>政策保障</w:t>
      </w:r>
      <w:bookmarkEnd w:id="32"/>
    </w:p>
    <w:p>
      <w:pPr>
        <w:pStyle w:val="3"/>
        <w:numPr>
          <w:ilvl w:val="0"/>
          <w:numId w:val="21"/>
        </w:numPr>
        <w:bidi w:val="0"/>
        <w:ind w:left="60" w:leftChars="0" w:firstLine="420" w:firstLineChars="0"/>
        <w:rPr>
          <w:rFonts w:hint="eastAsia"/>
          <w:b/>
          <w:lang w:val="en-US" w:eastAsia="zh-CN"/>
        </w:rPr>
      </w:pPr>
      <w:bookmarkStart w:id="33" w:name="_Toc7536"/>
      <w:r>
        <w:rPr>
          <w:rFonts w:hint="eastAsia"/>
          <w:b/>
          <w:lang w:val="en-US" w:eastAsia="zh-CN"/>
        </w:rPr>
        <w:t>政策、财政专项的落实情况</w:t>
      </w:r>
      <w:bookmarkEnd w:id="33"/>
    </w:p>
    <w:p>
      <w:pPr>
        <w:pStyle w:val="4"/>
        <w:numPr>
          <w:ilvl w:val="0"/>
          <w:numId w:val="22"/>
        </w:numPr>
        <w:bidi w:val="0"/>
        <w:ind w:left="0" w:leftChars="0" w:firstLine="481" w:firstLineChars="171"/>
        <w:rPr>
          <w:rFonts w:hint="eastAsia" w:ascii="宋体" w:hAnsi="宋体" w:eastAsia="宋体" w:cs="宋体"/>
          <w:color w:val="000000"/>
          <w:sz w:val="24"/>
        </w:rPr>
      </w:pPr>
      <w:r>
        <w:rPr>
          <w:rFonts w:hint="eastAsia"/>
        </w:rPr>
        <w:t>《职业教育提质培优行动计划（2020-2023年）》《广东省职业教育“扩容、提质、强服务”三年行动计划（2019-2021年）》等政策的落实情况</w:t>
      </w:r>
    </w:p>
    <w:p>
      <w:pPr>
        <w:spacing w:line="360" w:lineRule="auto"/>
        <w:ind w:left="0" w:leftChars="0" w:firstLine="0" w:firstLineChars="0"/>
        <w:jc w:val="center"/>
        <w:rPr>
          <w:rFonts w:hint="eastAsia" w:ascii="宋体" w:hAnsi="宋体" w:eastAsia="宋体" w:cs="宋体"/>
          <w:b/>
          <w:bCs/>
          <w:color w:val="000000"/>
          <w:sz w:val="18"/>
          <w:szCs w:val="18"/>
        </w:rPr>
      </w:pPr>
      <w:r>
        <w:rPr>
          <w:rFonts w:hint="eastAsia" w:ascii="宋体" w:hAnsi="宋体" w:eastAsia="宋体" w:cs="宋体"/>
          <w:b/>
          <w:bCs/>
          <w:color w:val="000000"/>
          <w:sz w:val="18"/>
          <w:szCs w:val="18"/>
        </w:rPr>
        <w:t>《广东省职业教育“扩容、提质、强服务”三年行动计划（2019-2021年）》落实情况表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b/>
                <w:bCs/>
                <w:color w:val="000000"/>
                <w:kern w:val="0"/>
                <w:sz w:val="20"/>
                <w:szCs w:val="20"/>
                <w:lang w:bidi="ar"/>
              </w:rPr>
              <w:t>序号</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b/>
                <w:bCs/>
                <w:color w:val="000000"/>
                <w:kern w:val="0"/>
                <w:sz w:val="20"/>
                <w:szCs w:val="20"/>
                <w:lang w:bidi="ar"/>
              </w:rPr>
              <w:t>用款单位</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b/>
                <w:bCs/>
                <w:color w:val="000000"/>
                <w:kern w:val="0"/>
                <w:sz w:val="20"/>
                <w:szCs w:val="20"/>
                <w:lang w:bidi="ar"/>
              </w:rPr>
              <w:t>资金年份</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b/>
                <w:bCs/>
                <w:color w:val="000000"/>
                <w:kern w:val="0"/>
                <w:sz w:val="20"/>
                <w:szCs w:val="20"/>
                <w:lang w:bidi="ar"/>
              </w:rPr>
              <w:t>项目名称</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下达金额</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b/>
                <w:bCs/>
                <w:color w:val="000000"/>
                <w:kern w:val="0"/>
                <w:sz w:val="20"/>
                <w:szCs w:val="20"/>
                <w:lang w:bidi="ar"/>
              </w:rPr>
              <w:t>（万元）</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rFonts w:hint="eastAsia" w:ascii="宋体" w:hAnsi="宋体" w:eastAsia="宋体" w:cs="宋体"/>
                <w:b/>
                <w:bCs/>
                <w:color w:val="000000"/>
                <w:kern w:val="0"/>
                <w:sz w:val="20"/>
                <w:szCs w:val="20"/>
                <w:lang w:bidi="ar"/>
              </w:rPr>
            </w:pPr>
            <w:r>
              <w:rPr>
                <w:rFonts w:hint="eastAsia" w:ascii="宋体" w:hAnsi="宋体" w:eastAsia="宋体" w:cs="宋体"/>
                <w:b/>
                <w:bCs/>
                <w:color w:val="000000"/>
                <w:kern w:val="0"/>
                <w:sz w:val="20"/>
                <w:szCs w:val="20"/>
                <w:lang w:bidi="ar"/>
              </w:rPr>
              <w:t>下达时间</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b/>
                <w:bCs/>
                <w:color w:val="000000"/>
                <w:kern w:val="0"/>
                <w:sz w:val="20"/>
                <w:szCs w:val="20"/>
                <w:lang w:bidi="ar"/>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1</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揭阳捷和职业技术学校</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2020</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学生实训室台式电脑及教师办公笔记本电脑购置项目</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198</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2020年7月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揭阳捷和职业技术学校</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2020</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心理健康发展中心及配套建设</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150</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2020年7月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3</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揭阳捷和职业技术学校</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2021</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教室空调安装、用电线路增容改造及配套建设项目</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280</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2021年7月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4</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揭阳捷和职业技术学校</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2021</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专业实训场室设备采购及相关配套建设项目（数字媒体技术实训室、3D打印实训室、电子信息专业考核室）</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253</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sz w:val="20"/>
                <w:szCs w:val="20"/>
              </w:rPr>
            </w:pPr>
            <w:r>
              <w:rPr>
                <w:rFonts w:hint="eastAsia" w:ascii="宋体" w:hAnsi="宋体" w:eastAsia="宋体" w:cs="宋体"/>
                <w:color w:val="000000"/>
                <w:kern w:val="0"/>
                <w:sz w:val="20"/>
                <w:szCs w:val="20"/>
                <w:lang w:bidi="ar"/>
              </w:rPr>
              <w:t>2021年7月</w:t>
            </w:r>
          </w:p>
        </w:tc>
      </w:tr>
    </w:tbl>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广东省职业教育“扩容、提质、强服务”三年行动计划（2019-2021年）》政策的推动下，学校办学环境和办学条件得到了质的提升，其中受益的不乏有学校专业教学设备提升，还有学校相关配套设备的提升，更重要的是对学校办学内涵提升起到了至关重要的影响。其中影响最大的就是学校的心理健康工作，在该政策的落实下，学校的师生心理健康发展中心项目得以落地实现，目前该中心已经正式投入使用，具体建设案例如下：</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《广东省职业教育“扩容、提质、强服务”三年行动计划（2019-2021年）》工作案例</w:t>
      </w:r>
    </w:p>
    <w:p>
      <w:pPr>
        <w:pStyle w:val="3"/>
        <w:numPr>
          <w:ilvl w:val="0"/>
          <w:numId w:val="21"/>
        </w:numPr>
        <w:bidi w:val="0"/>
        <w:ind w:left="60" w:leftChars="0" w:firstLine="482" w:firstLineChars="0"/>
        <w:rPr>
          <w:rFonts w:hint="eastAsia" w:ascii="Arial" w:hAnsi="Arial"/>
          <w:b/>
          <w:lang w:val="en-US" w:eastAsia="zh-CN"/>
        </w:rPr>
      </w:pPr>
      <w:bookmarkStart w:id="34" w:name="_Toc23722"/>
      <w:r>
        <w:rPr>
          <w:rFonts w:hint="eastAsia" w:ascii="Arial" w:hAnsi="Arial"/>
          <w:b/>
          <w:lang w:val="en-US" w:eastAsia="zh-CN"/>
        </w:rPr>
        <w:t>打造服务型心理健康工作机制、力保校园心理健康零事故</w:t>
      </w:r>
      <w:bookmarkEnd w:id="34"/>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贯彻习近平总书记关于职业教育的重要指示和全国职业教育大会精神，落实《国家职业教育改革实施方案》《职业教育提质培优行动计划（2020-2023年）》《广东省职业教育“扩容、提质、强服务”三年行动计划（2019-2021年）》等文件的精神，学校加大内涵提升建设，打造符合本校实际的德育特色学校。</w:t>
      </w:r>
    </w:p>
    <w:p>
      <w:pPr>
        <w:pStyle w:val="4"/>
        <w:numPr>
          <w:ilvl w:val="0"/>
          <w:numId w:val="23"/>
        </w:numPr>
        <w:bidi w:val="0"/>
        <w:ind w:left="0" w:leftChars="0" w:firstLine="481" w:firstLineChars="171"/>
      </w:pPr>
      <w:r>
        <w:rPr>
          <w:rFonts w:hint="eastAsia"/>
        </w:rPr>
        <w:t>推动“知礼、守时、守信”的德育管理工作，达成“性格开朗，兴趣广泛，一技之长、社会欢迎”的学生培养目标。</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自2010年起一直贯彻以“责任高于一切，发展在于努力”为校训，确立“立德、立业、立人”的育人思路，达成“性格开朗，兴趣广泛，一技之长、社会欢迎”的学生培养目标，形成“以人为本、知行合一、担当责任、和谐发展”的办学理念。在德育工作方面，学校主推“知礼、守时、守信”德育主线，“知礼、守时、守信”是学生职业化道路上最基本的职业素养，以此作为德育工作主线，也是对“性格开朗，兴趣广泛，一技之长、社会欢迎”这一学生培养目标的实践。</w:t>
      </w:r>
    </w:p>
    <w:p>
      <w:pPr>
        <w:pStyle w:val="4"/>
        <w:numPr>
          <w:ilvl w:val="0"/>
          <w:numId w:val="23"/>
        </w:numPr>
        <w:bidi w:val="0"/>
        <w:ind w:left="0" w:leftChars="0" w:firstLine="562" w:firstLineChars="200"/>
      </w:pPr>
      <w:r>
        <w:rPr>
          <w:rFonts w:hint="eastAsia"/>
        </w:rPr>
        <w:t>发力“心理健康教育”，打造现代化心理健康教育理念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随着社会对于教育特别是职业教育要求的变化，以及学生实际情况的变化，近年来“心理健康”逐步成为校园德育工作的关键内容，学校为此专门配备了专职的心理健康老师，校园在心理健康管理机制、介入机制以及应急预案等方面日趋成熟完善，心理健康工作也更加的规范和标准。在积极应对学生心理健康教育面临的新问题，营造健康和谐的校园文化氛围，让师生了解并运用心理学知识，扩大对心理健康教育与心理咨询工作的宣传，培养学生积极心理品质，增强学校心理健康教育的科学性和实效性，进一步推进我校学生心理健康教育工作等方面取得了长远而可持续的成效。2020年，学校在《广东省职业教育“扩容、提质、强服务”三年行动计划（2019-2021年）》的助力下，打造了一所具备现代心理健康教育理念的“心理健康教育中心”。该中心为实现主动开展心理健康工作，及时实现心理健康介入起到了良好的效果。每周各班级通过自主安排让学生到心理健康中心，开展主题班会活动，一来能够让班主任及时了解学生的心理状态，二来能够让学生的负面情绪找到很好的出口，为学生心理健康工作的开展提供十分主动可靠的平台。</w:t>
      </w:r>
    </w:p>
    <w:p>
      <w:pPr>
        <w:pStyle w:val="4"/>
        <w:numPr>
          <w:ilvl w:val="0"/>
          <w:numId w:val="23"/>
        </w:numPr>
        <w:bidi w:val="0"/>
        <w:ind w:left="0" w:leftChars="0" w:firstLine="562" w:firstLineChars="200"/>
      </w:pPr>
      <w:r>
        <w:rPr>
          <w:rFonts w:hint="eastAsia"/>
        </w:rPr>
        <w:t>以“心理健康教育中心”为载体，落实校园心理健康德育工作，为师生营造健康、和谐、积极、向上的工作学习环境。</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心理健康发展中心，占地382平，建设总投资超过了150万元。该中心秉承“以人为本、知行合一、担当责任、和谐发展”的办学理念，着眼于“学生群体高素质，教师队伍高水平，学校管理高效益，校园环境高品位”的办学目标，设有心理辅导室、测量档案室、团体活动室、心灵阅览室、情绪调节室、VR体验室、身心调适室、放松减压室、沙盘游戏室、办公接待室、主题文化走廊等区域，具有心理辅导、测量评估、档案管理、素质拓展、心理阅读、情绪调节、虚拟现实体验、身心放松、运动调适、反馈训练、沙盘游戏、办公接待、心理自助、科普宣传等功能，旨在帮助全体师生发现自我、唤醒潜能，促进提升综合素质，实现全面发展，是服务于全校师生的综合型教育空间，是思政育人服务体系的创新应用基地，是学校开展心理健康教育工作的专门场所。</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通过学校近年来的努力，学校在日常的学生心理健康管理工作中，多次及时地解决了关于抑郁症、校园欺凌以及其他心理健康的问题，为社会和家庭及时避免一系列的可能造成严重后果的心理健康事故。通过心理健康调查、心理健康知识宣传、心理健康主题班会等工作，特别是在疫情期间，让学校师生总体处于心理健康的水平。</w:t>
      </w:r>
    </w:p>
    <w:p>
      <w:pPr>
        <w:spacing w:line="360" w:lineRule="auto"/>
        <w:jc w:val="center"/>
        <w:rPr>
          <w:sz w:val="24"/>
        </w:rPr>
      </w:pPr>
      <w:r>
        <w:rPr>
          <w:rFonts w:hint="eastAsia"/>
          <w:sz w:val="24"/>
        </w:rPr>
        <w:drawing>
          <wp:inline distT="0" distB="0" distL="114300" distR="114300">
            <wp:extent cx="4597400" cy="2114550"/>
            <wp:effectExtent l="0" t="0" r="12700" b="0"/>
            <wp:docPr id="72" name="图片 72" descr="7c2c67e04b47e82ff984a120fc7c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7c2c67e04b47e82ff984a120fc7cf6a"/>
                    <pic:cNvPicPr>
                      <a:picLocks noChangeAspect="1"/>
                    </pic:cNvPicPr>
                  </pic:nvPicPr>
                  <pic:blipFill>
                    <a:blip r:embed="rId64"/>
                    <a:stretch>
                      <a:fillRect/>
                    </a:stretch>
                  </pic:blipFill>
                  <pic:spPr>
                    <a:xfrm>
                      <a:off x="0" y="0"/>
                      <a:ext cx="4597400" cy="2114550"/>
                    </a:xfrm>
                    <a:prstGeom prst="rect">
                      <a:avLst/>
                    </a:prstGeom>
                  </pic:spPr>
                </pic:pic>
              </a:graphicData>
            </a:graphic>
          </wp:inline>
        </w:drawing>
      </w:r>
    </w:p>
    <w:p>
      <w:pPr>
        <w:jc w:val="center"/>
        <w:rPr>
          <w:sz w:val="24"/>
        </w:rPr>
      </w:pPr>
      <w:r>
        <w:rPr>
          <w:rFonts w:hint="eastAsia"/>
          <w:sz w:val="24"/>
        </w:rPr>
        <w:drawing>
          <wp:inline distT="0" distB="0" distL="114300" distR="114300">
            <wp:extent cx="4585335" cy="2109470"/>
            <wp:effectExtent l="0" t="0" r="5715" b="5080"/>
            <wp:docPr id="73" name="图片 73" descr="98ad12d832798d78840fbc61c2d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98ad12d832798d78840fbc61c2d0622"/>
                    <pic:cNvPicPr>
                      <a:picLocks noChangeAspect="1"/>
                    </pic:cNvPicPr>
                  </pic:nvPicPr>
                  <pic:blipFill>
                    <a:blip r:embed="rId65"/>
                    <a:stretch>
                      <a:fillRect/>
                    </a:stretch>
                  </pic:blipFill>
                  <pic:spPr>
                    <a:xfrm>
                      <a:off x="0" y="0"/>
                      <a:ext cx="4585335" cy="2109470"/>
                    </a:xfrm>
                    <a:prstGeom prst="rect">
                      <a:avLst/>
                    </a:prstGeom>
                  </pic:spPr>
                </pic:pic>
              </a:graphicData>
            </a:graphic>
          </wp:inline>
        </w:drawing>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                        图3.1 心理健康发展中心</w:t>
      </w:r>
    </w:p>
    <w:p>
      <w:pPr>
        <w:pStyle w:val="4"/>
        <w:numPr>
          <w:ilvl w:val="0"/>
          <w:numId w:val="22"/>
        </w:numPr>
        <w:bidi w:val="0"/>
        <w:ind w:left="5" w:leftChars="0" w:firstLine="475" w:firstLineChars="169"/>
        <w:rPr>
          <w:rFonts w:hint="eastAsia"/>
        </w:rPr>
      </w:pPr>
      <w:r>
        <w:rPr>
          <w:rFonts w:hint="eastAsia"/>
        </w:rPr>
        <w:t>学校的“十四五规划”</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进一步深化学校改革发展、提升办学品位、凸显办学特色，为地方产业经济发展培养更多高质量的技能技术人才，发挥国家级重点中等职业学校的示范带动作用。为全面贯彻落实党中央、国务院和省市政府关于加快发展现代职业教育的重大战略决策部署，加快推进中职教育现代化发展，根据中央近些年陆续出台了《中国教育现代化2035》《加快推进教育现代化实施方案（2018－2022年）》等一系列文件，结合学校实际，制定本规划。</w:t>
      </w:r>
    </w:p>
    <w:p>
      <w:pPr>
        <w:pStyle w:val="5"/>
        <w:keepNext w:val="0"/>
        <w:keepLines w:val="0"/>
        <w:pageBreakBefore w:val="0"/>
        <w:widowControl w:val="0"/>
        <w:numPr>
          <w:ilvl w:val="0"/>
          <w:numId w:val="0"/>
        </w:numPr>
        <w:tabs>
          <w:tab w:val="left" w:pos="480"/>
          <w:tab w:val="clear" w:pos="0"/>
        </w:tabs>
        <w:kinsoku/>
        <w:wordWrap/>
        <w:overflowPunct/>
        <w:topLinePunct w:val="0"/>
        <w:autoSpaceDE/>
        <w:autoSpaceDN/>
        <w:bidi w:val="0"/>
        <w:adjustRightInd/>
        <w:snapToGrid/>
        <w:ind w:firstLine="240" w:firstLineChars="100"/>
        <w:textAlignment w:val="auto"/>
      </w:pPr>
      <w:r>
        <w:rPr>
          <w:rFonts w:hint="eastAsia"/>
          <w:lang w:eastAsia="zh-CN"/>
        </w:rPr>
        <w:t>（</w:t>
      </w:r>
      <w:r>
        <w:rPr>
          <w:rFonts w:hint="eastAsia"/>
          <w:lang w:val="en-US" w:eastAsia="zh-CN"/>
        </w:rPr>
        <w:t>1</w:t>
      </w:r>
      <w:r>
        <w:rPr>
          <w:rFonts w:hint="eastAsia"/>
          <w:lang w:eastAsia="zh-CN"/>
        </w:rPr>
        <w:t>）</w:t>
      </w:r>
      <w:r>
        <w:rPr>
          <w:rFonts w:hint="eastAsia"/>
        </w:rPr>
        <w:t>“十四五”发展基础及面临形势</w:t>
      </w:r>
    </w:p>
    <w:p>
      <w:pPr>
        <w:pStyle w:val="6"/>
        <w:numPr>
          <w:ilvl w:val="0"/>
          <w:numId w:val="24"/>
        </w:numPr>
        <w:bidi w:val="0"/>
      </w:pPr>
      <w:r>
        <w:rPr>
          <w:rFonts w:hint="eastAsia"/>
        </w:rPr>
        <w:t>发展基础</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揭阳捷和职业技术学校（简称捷和职校）是一所老牌的职业学校，是揭阳市第一家公立中职学校，广东省第一家华侨捐资创办的职校，也是第一批（2000年）国家级重点中等职业学校。学校办学定位准确、办学思路清晰、办学特色鲜明，专业办学优势明显，育人环境优越。</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十三五”期间，学校各项事业全面发展，学校办学声誉日益提升，办学规模逐年扩大，学生招得进、留得住、学得好，技能教育行业优势明显，人才的实用性和对口率强，整体办学实力显著提高，社会声誉和影响力进一步增强，“读职校找捷和”已成社会共识，成为粤东乃至省内知名职校，骨干、示范和引领作用日益突出。主要特色与优势如下：</w:t>
      </w:r>
    </w:p>
    <w:p>
      <w:pPr>
        <w:pStyle w:val="7"/>
        <w:keepNext/>
        <w:keepLines/>
        <w:pageBreakBefore w:val="0"/>
        <w:widowControl w:val="0"/>
        <w:numPr>
          <w:ilvl w:val="0"/>
          <w:numId w:val="25"/>
        </w:numPr>
        <w:kinsoku/>
        <w:wordWrap/>
        <w:overflowPunct/>
        <w:topLinePunct w:val="0"/>
        <w:autoSpaceDE/>
        <w:autoSpaceDN/>
        <w:bidi w:val="0"/>
        <w:adjustRightInd/>
        <w:snapToGrid/>
        <w:ind w:firstLine="480" w:firstLineChars="200"/>
        <w:textAlignment w:val="auto"/>
        <w:rPr>
          <w:rFonts w:hint="eastAsia"/>
        </w:rPr>
      </w:pPr>
      <w:r>
        <w:rPr>
          <w:rFonts w:hint="eastAsia"/>
        </w:rPr>
        <w:t>办学规模逐步扩大。</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我校全面贯彻落实科学发展观，秉承“以人为本、知行合一、担当责任、和谐发展”的办学理念，正确处理规模、结构、质量、效益的关系，招生规模达到历史最高水平。</w:t>
      </w:r>
    </w:p>
    <w:p>
      <w:pPr>
        <w:pStyle w:val="7"/>
        <w:keepNext/>
        <w:keepLines/>
        <w:pageBreakBefore w:val="0"/>
        <w:widowControl w:val="0"/>
        <w:numPr>
          <w:ilvl w:val="0"/>
          <w:numId w:val="25"/>
        </w:numPr>
        <w:kinsoku/>
        <w:wordWrap/>
        <w:overflowPunct/>
        <w:topLinePunct w:val="0"/>
        <w:autoSpaceDE/>
        <w:autoSpaceDN/>
        <w:bidi w:val="0"/>
        <w:adjustRightInd/>
        <w:snapToGrid/>
        <w:ind w:firstLine="480" w:firstLineChars="200"/>
        <w:textAlignment w:val="auto"/>
        <w:rPr>
          <w:rFonts w:hint="eastAsia"/>
        </w:rPr>
      </w:pPr>
      <w:r>
        <w:rPr>
          <w:rFonts w:hint="eastAsia"/>
        </w:rPr>
        <w:t>办学特色更加明显。</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的传统优势和特色得到进一步巩固和发展。学校践行“立德树人”一中心、“守时、礼仪”两教育、“三立”育人思路、“四文建校”“四和治校”特色及与地方经济发展深度融合的“五位一体”办学模式、“现代学徒制”的人才培养模式，办学硕果累累。</w:t>
      </w:r>
    </w:p>
    <w:p>
      <w:pPr>
        <w:pStyle w:val="7"/>
        <w:keepNext/>
        <w:keepLines/>
        <w:pageBreakBefore w:val="0"/>
        <w:widowControl w:val="0"/>
        <w:numPr>
          <w:ilvl w:val="0"/>
          <w:numId w:val="25"/>
        </w:numPr>
        <w:kinsoku/>
        <w:wordWrap/>
        <w:overflowPunct/>
        <w:topLinePunct w:val="0"/>
        <w:autoSpaceDE/>
        <w:autoSpaceDN/>
        <w:bidi w:val="0"/>
        <w:adjustRightInd/>
        <w:snapToGrid/>
        <w:ind w:firstLine="480" w:firstLineChars="200"/>
        <w:textAlignment w:val="auto"/>
        <w:rPr>
          <w:rFonts w:hint="eastAsia"/>
        </w:rPr>
      </w:pPr>
      <w:r>
        <w:rPr>
          <w:rFonts w:hint="eastAsia"/>
        </w:rPr>
        <w:t>专业建设持续加强。</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通过专业融合，形成综合优势，培养具有跨界意识和能力的“复合技能型人才”。学生技能突出，在技能大赛中成绩优异，名列揭阳市、广东省前茅。不断做强做大中高职衔接。“牵手优质高职的优势专业”，与广东农工商职业技术学院、广东环境保护工程职业学院、揭阳职业职业技术学院等院校，通过5年一贯制合作办学，并与广东环境保护工程职业学院、揭阳职业技术学院建立高职专业学院。</w:t>
      </w:r>
    </w:p>
    <w:p>
      <w:pPr>
        <w:pStyle w:val="7"/>
        <w:keepNext/>
        <w:keepLines/>
        <w:pageBreakBefore w:val="0"/>
        <w:widowControl w:val="0"/>
        <w:numPr>
          <w:ilvl w:val="0"/>
          <w:numId w:val="25"/>
        </w:numPr>
        <w:kinsoku/>
        <w:wordWrap/>
        <w:overflowPunct/>
        <w:topLinePunct w:val="0"/>
        <w:autoSpaceDE/>
        <w:autoSpaceDN/>
        <w:bidi w:val="0"/>
        <w:adjustRightInd/>
        <w:snapToGrid/>
        <w:ind w:firstLine="480" w:firstLineChars="200"/>
        <w:textAlignment w:val="auto"/>
        <w:rPr>
          <w:rFonts w:hint="eastAsia"/>
        </w:rPr>
      </w:pPr>
      <w:r>
        <w:rPr>
          <w:rFonts w:hint="eastAsia"/>
        </w:rPr>
        <w:t>创新德育育人模式。</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立德树人”是学校的根本任务，人才培养是中心任务。坚持立德树人，不断深化教育教学改革，完善创新创业教育体系，全面提高人才培养质量是学校的使命。为提高学校德育工作的针对性、实效性，形成全员育人的学校德育工作格局，学校根据学校是实际情况，实施以班主任为核心，任课教师全员参与方式，辅以原有常规德育工作办法，为学生提供全方位、个性化的指导和帮助。动员全校教职员工共同参与德育教育工作，又以导师作为学生思想、道德教育的枢纽联系和整合学校、社会、家庭三个方面的教育力量，形成全方位、多渠道监管和教育学生的合力，弥补传统班级管理模式下的不足，真正做到德育工作无盲点、无死角，学生人人有导师，老师人人带学生，真正做到“把德育工作做到学生的心里去”。</w:t>
      </w:r>
    </w:p>
    <w:p>
      <w:pPr>
        <w:pStyle w:val="7"/>
        <w:keepNext/>
        <w:keepLines/>
        <w:pageBreakBefore w:val="0"/>
        <w:widowControl w:val="0"/>
        <w:numPr>
          <w:ilvl w:val="0"/>
          <w:numId w:val="25"/>
        </w:numPr>
        <w:kinsoku/>
        <w:wordWrap/>
        <w:overflowPunct/>
        <w:topLinePunct w:val="0"/>
        <w:autoSpaceDE/>
        <w:autoSpaceDN/>
        <w:bidi w:val="0"/>
        <w:adjustRightInd/>
        <w:snapToGrid/>
        <w:ind w:firstLine="480" w:firstLineChars="200"/>
        <w:textAlignment w:val="auto"/>
        <w:rPr>
          <w:rFonts w:hint="eastAsia"/>
        </w:rPr>
      </w:pPr>
      <w:r>
        <w:rPr>
          <w:rFonts w:hint="eastAsia"/>
        </w:rPr>
        <w:t>深化校企合作机制。</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坚持以教师的责任关注学生的前途，以父母的情怀关心学生的发展。学校多次组织人员到珠三角地区考察大中型校企，形成长期的合作伙伴关系，形成“校内学习--社会实践--顶岗实习--企业就业--延伸服务”人才培养模式，提高学生综合素质，在社会上建立了良好的信誉和品牌。</w:t>
      </w:r>
    </w:p>
    <w:p>
      <w:pPr>
        <w:pStyle w:val="6"/>
        <w:numPr>
          <w:ilvl w:val="0"/>
          <w:numId w:val="24"/>
        </w:numPr>
        <w:bidi w:val="0"/>
        <w:ind w:firstLine="723"/>
        <w:rPr>
          <w:rFonts w:hint="eastAsia"/>
        </w:rPr>
      </w:pPr>
      <w:r>
        <w:rPr>
          <w:rFonts w:hint="eastAsia"/>
        </w:rPr>
        <w:t>面临形势</w:t>
      </w:r>
    </w:p>
    <w:p>
      <w:pPr>
        <w:pStyle w:val="7"/>
        <w:keepNext/>
        <w:keepLines/>
        <w:pageBreakBefore w:val="0"/>
        <w:widowControl w:val="0"/>
        <w:numPr>
          <w:ilvl w:val="0"/>
          <w:numId w:val="26"/>
        </w:numPr>
        <w:kinsoku/>
        <w:wordWrap/>
        <w:overflowPunct/>
        <w:topLinePunct w:val="0"/>
        <w:autoSpaceDE/>
        <w:autoSpaceDN/>
        <w:bidi w:val="0"/>
        <w:adjustRightInd/>
        <w:snapToGrid/>
        <w:ind w:firstLine="480" w:firstLineChars="200"/>
        <w:textAlignment w:val="auto"/>
        <w:rPr>
          <w:rFonts w:hint="eastAsia"/>
        </w:rPr>
      </w:pPr>
      <w:r>
        <w:rPr>
          <w:rFonts w:hint="eastAsia"/>
        </w:rPr>
        <w:t>教学场地、设备设施还需进一步完善。</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学校的教学场地、设备设施还不能满足专业快速发展的需求，特别是机电、数控、汽修等专业的设备更新换代快，迫切需要加大对其设备资金的投入。</w:t>
      </w:r>
    </w:p>
    <w:p>
      <w:pPr>
        <w:pStyle w:val="7"/>
        <w:keepNext/>
        <w:keepLines/>
        <w:pageBreakBefore w:val="0"/>
        <w:widowControl w:val="0"/>
        <w:numPr>
          <w:ilvl w:val="0"/>
          <w:numId w:val="26"/>
        </w:numPr>
        <w:kinsoku/>
        <w:wordWrap/>
        <w:overflowPunct/>
        <w:topLinePunct w:val="0"/>
        <w:autoSpaceDE/>
        <w:autoSpaceDN/>
        <w:bidi w:val="0"/>
        <w:adjustRightInd/>
        <w:snapToGrid/>
        <w:ind w:firstLine="480" w:firstLineChars="200"/>
        <w:textAlignment w:val="auto"/>
        <w:rPr>
          <w:rFonts w:hint="eastAsia"/>
        </w:rPr>
      </w:pPr>
      <w:r>
        <w:rPr>
          <w:rFonts w:hint="eastAsia"/>
        </w:rPr>
        <w:t>专业师资队伍还需进一步壮大。</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学校的部分专业师资师生配比还达不到国重以至示范校的要求，并且部分专业教师是相近学科转型，需要进行调整和转型培训，提高教师专业能力。</w:t>
      </w:r>
    </w:p>
    <w:p>
      <w:pPr>
        <w:pStyle w:val="7"/>
        <w:keepNext/>
        <w:keepLines/>
        <w:pageBreakBefore w:val="0"/>
        <w:widowControl w:val="0"/>
        <w:numPr>
          <w:ilvl w:val="0"/>
          <w:numId w:val="26"/>
        </w:numPr>
        <w:kinsoku/>
        <w:wordWrap/>
        <w:overflowPunct/>
        <w:topLinePunct w:val="0"/>
        <w:autoSpaceDE/>
        <w:autoSpaceDN/>
        <w:bidi w:val="0"/>
        <w:adjustRightInd/>
        <w:snapToGrid/>
        <w:ind w:firstLine="480" w:firstLineChars="200"/>
        <w:textAlignment w:val="auto"/>
        <w:rPr>
          <w:rFonts w:hint="eastAsia" w:ascii="Arial" w:hAnsi="Arial"/>
        </w:rPr>
      </w:pPr>
      <w:r>
        <w:rPr>
          <w:rFonts w:hint="eastAsia" w:ascii="Arial" w:hAnsi="Arial"/>
        </w:rPr>
        <w:t>招生生源质量需进一步提升。</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特别是随着中职的扩招，生源学习水平层次不齐，造成教育教学管理的难度加大。</w:t>
      </w:r>
    </w:p>
    <w:p>
      <w:pPr>
        <w:pStyle w:val="5"/>
        <w:keepNext w:val="0"/>
        <w:keepLines w:val="0"/>
        <w:pageBreakBefore w:val="0"/>
        <w:widowControl w:val="0"/>
        <w:numPr>
          <w:ilvl w:val="0"/>
          <w:numId w:val="0"/>
        </w:numPr>
        <w:tabs>
          <w:tab w:val="left" w:pos="480"/>
          <w:tab w:val="clear" w:pos="0"/>
        </w:tabs>
        <w:kinsoku/>
        <w:wordWrap/>
        <w:overflowPunct/>
        <w:topLinePunct w:val="0"/>
        <w:autoSpaceDE/>
        <w:autoSpaceDN/>
        <w:bidi w:val="0"/>
        <w:adjustRightInd/>
        <w:snapToGrid/>
        <w:ind w:leftChars="200"/>
        <w:textAlignment w:val="auto"/>
        <w:rPr>
          <w:rFonts w:hint="eastAsia" w:ascii="Arial" w:hAnsi="Arial"/>
        </w:rPr>
      </w:pPr>
      <w:r>
        <w:rPr>
          <w:rFonts w:hint="eastAsia"/>
          <w:lang w:eastAsia="zh-CN"/>
        </w:rPr>
        <w:t>（</w:t>
      </w:r>
      <w:r>
        <w:rPr>
          <w:rFonts w:hint="eastAsia"/>
          <w:lang w:val="en-US" w:eastAsia="zh-CN"/>
        </w:rPr>
        <w:t>2</w:t>
      </w:r>
      <w:r>
        <w:rPr>
          <w:rFonts w:hint="eastAsia"/>
          <w:lang w:eastAsia="zh-CN"/>
        </w:rPr>
        <w:t>）</w:t>
      </w:r>
      <w:r>
        <w:rPr>
          <w:rFonts w:hint="eastAsia" w:ascii="Arial" w:hAnsi="Arial"/>
        </w:rPr>
        <w:t>指导思想</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全面贯彻党的十九大精神，以习近平新时代中国特色社会主义思想为指导，深入贯彻习近平总书记对广东重要指示批示精神，落实《国家职业教育改革实施方案》和《广东省职业教育“扩容、提质、强服务”三年行动计划》，聚焦重点问题和关键环节，对照《国家中等职业教育改革发展示范学校建设标准》，全面优化提升办学水平，增强服务社会经济发展能力，为地方高质量产业发展提供技术技能人才支撑。</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Arial" w:hAnsi="Arial"/>
        </w:rPr>
      </w:pPr>
      <w:r>
        <w:rPr>
          <w:rFonts w:hint="eastAsia"/>
          <w:lang w:eastAsia="zh-CN"/>
        </w:rPr>
        <w:t>（</w:t>
      </w:r>
      <w:r>
        <w:rPr>
          <w:rFonts w:hint="eastAsia"/>
          <w:lang w:val="en-US" w:eastAsia="zh-CN"/>
        </w:rPr>
        <w:t>3</w:t>
      </w:r>
      <w:r>
        <w:rPr>
          <w:rFonts w:hint="eastAsia"/>
          <w:lang w:eastAsia="zh-CN"/>
        </w:rPr>
        <w:t>）</w:t>
      </w:r>
      <w:r>
        <w:rPr>
          <w:rFonts w:hint="eastAsia" w:ascii="Arial" w:hAnsi="Arial"/>
        </w:rPr>
        <w:t>发展思路</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坚持依法治校，努力构建现代学校治理体系；坚持立足揭阳、辐射周边、面向全省、多层次多规格培养高素质技术技能人才，全方位服务区域经济和社会发展的办学定位；坚持走“内涵发展、创新发展、开放发展”的发展之路。</w:t>
      </w:r>
    </w:p>
    <w:p>
      <w:pPr>
        <w:pStyle w:val="7"/>
        <w:keepNext/>
        <w:keepLines/>
        <w:pageBreakBefore w:val="0"/>
        <w:widowControl w:val="0"/>
        <w:numPr>
          <w:ilvl w:val="0"/>
          <w:numId w:val="27"/>
        </w:numPr>
        <w:kinsoku/>
        <w:wordWrap/>
        <w:overflowPunct/>
        <w:topLinePunct w:val="0"/>
        <w:autoSpaceDE/>
        <w:autoSpaceDN/>
        <w:bidi w:val="0"/>
        <w:adjustRightInd/>
        <w:snapToGrid/>
        <w:ind w:firstLine="480" w:firstLineChars="200"/>
        <w:textAlignment w:val="auto"/>
        <w:rPr>
          <w:rFonts w:hint="eastAsia"/>
        </w:rPr>
      </w:pPr>
      <w:r>
        <w:rPr>
          <w:rFonts w:hint="eastAsia"/>
        </w:rPr>
        <w:t>坚持依法治校。</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坚持党委领导下的校长负责制，完善学校系部二级管理体制；全面实施学校《章程》，大力加强制度建设，不断提升管理能力和服务水平，努力构建现代学校治理体系。</w:t>
      </w:r>
    </w:p>
    <w:p>
      <w:pPr>
        <w:pStyle w:val="7"/>
        <w:keepNext/>
        <w:keepLines/>
        <w:pageBreakBefore w:val="0"/>
        <w:widowControl w:val="0"/>
        <w:numPr>
          <w:ilvl w:val="0"/>
          <w:numId w:val="27"/>
        </w:numPr>
        <w:kinsoku/>
        <w:wordWrap/>
        <w:overflowPunct/>
        <w:topLinePunct w:val="0"/>
        <w:autoSpaceDE/>
        <w:autoSpaceDN/>
        <w:bidi w:val="0"/>
        <w:adjustRightInd/>
        <w:snapToGrid/>
        <w:ind w:firstLine="480" w:firstLineChars="200"/>
        <w:textAlignment w:val="auto"/>
        <w:rPr>
          <w:rFonts w:hint="eastAsia"/>
        </w:rPr>
      </w:pPr>
      <w:r>
        <w:rPr>
          <w:rFonts w:hint="eastAsia"/>
        </w:rPr>
        <w:t>坚持内涵发展。</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进一步加强基础能力建设，改善办学条件，夯实发展基础；进一步加强师资队伍建设、实训实习基地建设、课程与教学内容体系建设和校园文化建设，创新校企协同育人机制，树立学校职教品牌。</w:t>
      </w:r>
    </w:p>
    <w:p>
      <w:pPr>
        <w:pStyle w:val="7"/>
        <w:keepNext/>
        <w:keepLines/>
        <w:pageBreakBefore w:val="0"/>
        <w:widowControl w:val="0"/>
        <w:numPr>
          <w:ilvl w:val="0"/>
          <w:numId w:val="27"/>
        </w:numPr>
        <w:kinsoku/>
        <w:wordWrap/>
        <w:overflowPunct/>
        <w:topLinePunct w:val="0"/>
        <w:autoSpaceDE/>
        <w:autoSpaceDN/>
        <w:bidi w:val="0"/>
        <w:adjustRightInd/>
        <w:snapToGrid/>
        <w:ind w:firstLine="480" w:firstLineChars="200"/>
        <w:textAlignment w:val="auto"/>
        <w:rPr>
          <w:rFonts w:hint="eastAsia"/>
        </w:rPr>
      </w:pPr>
      <w:r>
        <w:rPr>
          <w:rFonts w:hint="eastAsia"/>
        </w:rPr>
        <w:t>坚持创新发展。</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树立发展新理念，创新发展思路和模式；加强教育观念、体制机制、教学内容方法等的创新，加大教育教学改革力度，加强创新创业教育，全面提高人才培养质量和效益，提高区域经济社会发展的支持力与贡献度。</w:t>
      </w:r>
    </w:p>
    <w:p>
      <w:pPr>
        <w:pStyle w:val="7"/>
        <w:keepNext/>
        <w:keepLines/>
        <w:pageBreakBefore w:val="0"/>
        <w:widowControl w:val="0"/>
        <w:numPr>
          <w:ilvl w:val="0"/>
          <w:numId w:val="27"/>
        </w:numPr>
        <w:kinsoku/>
        <w:wordWrap/>
        <w:overflowPunct/>
        <w:topLinePunct w:val="0"/>
        <w:autoSpaceDE/>
        <w:autoSpaceDN/>
        <w:bidi w:val="0"/>
        <w:adjustRightInd/>
        <w:snapToGrid/>
        <w:ind w:firstLine="480" w:firstLineChars="200"/>
        <w:textAlignment w:val="auto"/>
        <w:rPr>
          <w:rFonts w:hint="eastAsia"/>
        </w:rPr>
      </w:pPr>
      <w:r>
        <w:rPr>
          <w:rFonts w:hint="eastAsia"/>
        </w:rPr>
        <w:t>坚持开放发展。</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加大开放办学力度，多种形式开展交流合作，实现学校和社会双向开放、双向交流、合作共赢。进一步完善现代学徒制人才培养模式，合理配置资源，重点打造特色品牌专业和专业集群，不断提高核心竞争力，充分发挥学校资源优势，主动实现对社会开放；吸纳优质办学资源，加强校企、校校合作，提升办学层次，增强办学实力。</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Arial" w:hAnsi="Arial"/>
        </w:rPr>
      </w:pPr>
      <w:r>
        <w:rPr>
          <w:rFonts w:hint="eastAsia"/>
          <w:lang w:eastAsia="zh-CN"/>
        </w:rPr>
        <w:t>（</w:t>
      </w:r>
      <w:r>
        <w:rPr>
          <w:rFonts w:hint="eastAsia"/>
          <w:lang w:val="en-US" w:eastAsia="zh-CN"/>
        </w:rPr>
        <w:t>4</w:t>
      </w:r>
      <w:r>
        <w:rPr>
          <w:rFonts w:hint="eastAsia"/>
          <w:lang w:eastAsia="zh-CN"/>
        </w:rPr>
        <w:t>）</w:t>
      </w:r>
      <w:r>
        <w:rPr>
          <w:rFonts w:hint="eastAsia" w:ascii="Arial" w:hAnsi="Arial"/>
        </w:rPr>
        <w:t>发展目标</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以国家级中等职业教育改革发展示范学校为标准，进一步优化学校管理，完善基础设施，深化校企合作，创新教育教学，强化队伍建设，提升办学效益，到2025年，大幅度提高学校办学的规范化、信息化和现代化水平，使揭阳捷和职业技术学校成为代表国家职业教育水平的中等职业学校，成为中等职业教育改革创新的示范、提高质量的示范和办学特色的示范，在中等职业教育改革发展中发挥引领、骨干和辐射作用。</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eastAsia="zh-CN"/>
        </w:rPr>
      </w:pPr>
      <w:r>
        <w:rPr>
          <w:rFonts w:hint="eastAsia"/>
          <w:lang w:eastAsia="zh-CN"/>
        </w:rPr>
        <w:t>（</w:t>
      </w:r>
      <w:r>
        <w:rPr>
          <w:rFonts w:hint="eastAsia"/>
          <w:lang w:val="en-US" w:eastAsia="zh-CN"/>
        </w:rPr>
        <w:t>5</w:t>
      </w:r>
      <w:r>
        <w:rPr>
          <w:rFonts w:hint="eastAsia"/>
          <w:lang w:eastAsia="zh-CN"/>
        </w:rPr>
        <w:t>）具体措施</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rPr>
          <w:rFonts w:hint="eastAsia" w:ascii="微软雅黑" w:hAnsi="微软雅黑" w:eastAsia="微软雅黑" w:cs="微软雅黑"/>
          <w:color w:val="000000"/>
          <w:sz w:val="24"/>
        </w:rPr>
        <w:t>①</w:t>
      </w:r>
      <w:r>
        <w:rPr>
          <w:rFonts w:hint="eastAsia"/>
        </w:rPr>
        <w:t>优化学校管理</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A</w:t>
      </w:r>
      <w:r>
        <w:rPr>
          <w:rFonts w:hint="eastAsia" w:ascii="宋体" w:hAnsi="宋体" w:eastAsia="宋体" w:cs="宋体"/>
          <w:color w:val="000000"/>
          <w:sz w:val="24"/>
        </w:rPr>
        <w:t>进一步完善学校规章制度。特别是完善教学管理制度，以适应深化校企合作的办学方向，强化课程管理体系及课程改革和企业的需求对接；建立健全中职学校生均拨款制度或生均公用经费制度；加强教育经费管理。按照预算编制、预算执行、绩效评价、财政监督“四位一体”要求，不断提高预算编制的科学性，强化预算执行的严肃性。加强对学校财政教育经费全过程监管，确保资金安全，切实提高资金使用效益。</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B</w:t>
      </w:r>
      <w:r>
        <w:rPr>
          <w:rFonts w:hint="eastAsia" w:ascii="宋体" w:hAnsi="宋体" w:eastAsia="宋体" w:cs="宋体"/>
          <w:color w:val="000000"/>
          <w:sz w:val="24"/>
        </w:rPr>
        <w:t>提升校级领导综合管理能力。每年派出队伍的三分之一人员参加省、国培；提升中层干部行政执行力，每年派出队伍的三分之一人员参加各级各类培训；</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C</w:t>
      </w:r>
      <w:r>
        <w:rPr>
          <w:rFonts w:hint="eastAsia" w:ascii="宋体" w:hAnsi="宋体" w:eastAsia="宋体" w:cs="宋体"/>
          <w:color w:val="000000"/>
          <w:sz w:val="24"/>
        </w:rPr>
        <w:t>完成学校电子学籍、就业跟踪、固定资产等方面的信息管理系统建设，实现无纸化办公。</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D</w:t>
      </w:r>
      <w:r>
        <w:rPr>
          <w:rFonts w:hint="eastAsia" w:ascii="宋体" w:hAnsi="宋体" w:eastAsia="宋体" w:cs="宋体"/>
          <w:color w:val="000000"/>
          <w:sz w:val="24"/>
        </w:rPr>
        <w:t>完善校园实时管理监控系统，对学校的教育、教学、实训等实行全方位动态管理，形成规范化、科学化、现代化的治理体系。</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rPr>
          <w:rFonts w:hint="eastAsia" w:ascii="微软雅黑" w:hAnsi="微软雅黑" w:eastAsia="微软雅黑" w:cs="微软雅黑"/>
          <w:lang w:eastAsia="zh-CN"/>
        </w:rPr>
        <w:t>②</w:t>
      </w:r>
      <w:r>
        <w:rPr>
          <w:rFonts w:hint="eastAsia"/>
        </w:rPr>
        <w:t>基础设施</w:t>
      </w:r>
    </w:p>
    <w:p>
      <w:pPr>
        <w:pStyle w:val="6"/>
        <w:numPr>
          <w:ilvl w:val="0"/>
          <w:numId w:val="0"/>
        </w:numPr>
        <w:bidi w:val="0"/>
        <w:ind w:firstLine="480" w:firstLineChars="200"/>
        <w:rPr>
          <w:rFonts w:hint="eastAsia"/>
        </w:rPr>
      </w:pPr>
      <w:r>
        <w:rPr>
          <w:rFonts w:hint="eastAsia"/>
        </w:rPr>
        <w:t>提升、完善专业基础设施建设。提升原有2个省级“双精准”示范专业和3个省级重点专业的专业场室、设备设施配套建设，增建3个省级“双精准”示范专业。到2022年，形成3个省级重点、5个省级“双精准”示范专业的高品位专业群，精准对接行业发展对专业人才培养的需求:</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A</w:t>
      </w:r>
      <w:r>
        <w:rPr>
          <w:rFonts w:hint="eastAsia" w:ascii="宋体" w:hAnsi="宋体" w:eastAsia="宋体" w:cs="宋体"/>
          <w:color w:val="000000"/>
          <w:sz w:val="24"/>
        </w:rPr>
        <w:t>完善原省级“双精准”示范专业计算机动漫与游戏制作的场室建设，包括影视后期制作室、3D打印创客室等。</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B</w:t>
      </w:r>
      <w:r>
        <w:rPr>
          <w:rFonts w:hint="eastAsia" w:ascii="宋体" w:hAnsi="宋体" w:eastAsia="宋体" w:cs="宋体"/>
          <w:color w:val="000000"/>
          <w:sz w:val="24"/>
        </w:rPr>
        <w:t>完善省级“双精准”示范专业学前教育的场室建设，拟增加钢琴室20间、电钢琴室2间、舞蹈室2间，增设育婴室1间、蒙台利梭教学法室1间、微格课室各间，</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C</w:t>
      </w:r>
      <w:r>
        <w:rPr>
          <w:rFonts w:hint="eastAsia" w:ascii="宋体" w:hAnsi="宋体" w:eastAsia="宋体" w:cs="宋体"/>
          <w:color w:val="000000"/>
          <w:sz w:val="24"/>
        </w:rPr>
        <w:t>升级原省重点专业电子与信息技术、机电技术应用两个专业及数控技术应用等专业的设备。工科类专业行业发展快，专业实训设备与行业的适配度要求高，需及时更新换代。</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D</w:t>
      </w:r>
      <w:r>
        <w:rPr>
          <w:rFonts w:hint="eastAsia" w:ascii="宋体" w:hAnsi="宋体" w:eastAsia="宋体" w:cs="宋体"/>
          <w:color w:val="000000"/>
          <w:sz w:val="24"/>
        </w:rPr>
        <w:t>完善建设省级双精准示范专业“中餐烹饪与营养膳食”专业，把行知楼第5层统一规划为烹饪实训场室，增设热菜实训室、中点实训室、西点实训室各1间，进一步完善宴会摆台实训室的建设。</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E</w:t>
      </w:r>
      <w:r>
        <w:rPr>
          <w:rFonts w:hint="eastAsia" w:ascii="宋体" w:hAnsi="宋体" w:eastAsia="宋体" w:cs="宋体"/>
          <w:color w:val="000000"/>
          <w:sz w:val="24"/>
        </w:rPr>
        <w:t>申报建设省级双精准示范专业“电子商务”专业， 进一步完善、提升专业实训场室的建设，需增建跨境电商实训室、跨境后台业务实训室（包括跨境报关业务、融资贷款业务以及跨境知识产权业务）、物流实训室、摄影棚等场室。</w:t>
      </w:r>
    </w:p>
    <w:p>
      <w:pPr>
        <w:spacing w:line="360" w:lineRule="auto"/>
        <w:ind w:firstLine="480" w:firstLineChars="200"/>
        <w:rPr>
          <w:rFonts w:hint="eastAsia" w:ascii="宋体" w:hAnsi="宋体" w:eastAsia="宋体" w:cs="宋体"/>
          <w:color w:val="000000"/>
          <w:sz w:val="24"/>
        </w:rPr>
      </w:pPr>
      <w:r>
        <w:rPr>
          <w:rFonts w:hint="eastAsia" w:ascii="微软雅黑" w:hAnsi="微软雅黑" w:eastAsia="微软雅黑" w:cs="微软雅黑"/>
          <w:color w:val="000000"/>
          <w:sz w:val="24"/>
          <w:lang w:val="en-US" w:eastAsia="zh-CN"/>
        </w:rPr>
        <w:t>F</w:t>
      </w:r>
      <w:r>
        <w:rPr>
          <w:rFonts w:hint="eastAsia" w:ascii="宋体" w:hAnsi="宋体" w:eastAsia="宋体" w:cs="宋体"/>
          <w:color w:val="000000"/>
          <w:sz w:val="24"/>
        </w:rPr>
        <w:t>申报建设省级双精准示范专业“汽车运用与维修”专业，进一步完善、提升专业实训场室的建设，增建汽车美容实训室、汽车钣金实训室、汽车车身喷漆室。</w:t>
      </w:r>
    </w:p>
    <w:p>
      <w:pPr>
        <w:pStyle w:val="6"/>
        <w:numPr>
          <w:ilvl w:val="0"/>
          <w:numId w:val="0"/>
        </w:numPr>
        <w:bidi w:val="0"/>
        <w:ind w:firstLine="480" w:firstLineChars="200"/>
        <w:rPr>
          <w:rFonts w:hint="eastAsia"/>
        </w:rPr>
      </w:pPr>
      <w:r>
        <w:rPr>
          <w:rFonts w:hint="eastAsia"/>
        </w:rPr>
        <w:t>完善校区功能布局。按照“十三五”期间明确的校区定位，结合基本建设进度，有序推进各类用房的功能调整，更好为教学服务。结合学校的整体规划，要围绕立德树人的根本任务，加强校园文化建设，为学生文体活动提供更多场所；整合、规范党政办公区域，为师生提供更多便利。其中，“十四五”期间，通过新建和改造，计划学生宿舍电路改造及空调配置，建设师生心灵氧吧（心理咨询活动室）、教职工活动中心，改造学校400米标准跑道及足球场，增添纸质图书4.5-5万册。</w:t>
      </w:r>
    </w:p>
    <w:p>
      <w:pPr>
        <w:pStyle w:val="6"/>
        <w:numPr>
          <w:ilvl w:val="0"/>
          <w:numId w:val="0"/>
        </w:numPr>
        <w:bidi w:val="0"/>
        <w:ind w:firstLine="480" w:firstLineChars="200"/>
        <w:rPr>
          <w:rFonts w:hint="eastAsia"/>
        </w:rPr>
      </w:pPr>
      <w:r>
        <w:rPr>
          <w:rFonts w:hint="eastAsia"/>
        </w:rPr>
        <w:t>建设智慧校园。按照省、国家示范校的要求，以信息化建设为重点，加快智慧校园建设。通过专业资源网站建设，所有专业主干课程、重点课程、精品课程均可在校园网展示，实现教师、学生的资源共享学校信息化建设。继续推进有线网络、移动互联网、物联网等校园网络基础设施建设和基于云计算的信息基础设施建设，校区间主干及校区网主干速率达到 40Gbps 以上，改造校园无线网接入，为师生和学校管理提高高质量的云服务和数据服务，强化网络安全工作，提供可靠、安全的网络信息服务。</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rPr>
          <w:rFonts w:hint="eastAsia" w:ascii="微软雅黑" w:hAnsi="微软雅黑" w:eastAsia="微软雅黑" w:cs="微软雅黑"/>
          <w:lang w:eastAsia="zh-CN"/>
        </w:rPr>
        <w:t>③</w:t>
      </w:r>
      <w:r>
        <w:rPr>
          <w:rFonts w:hint="eastAsia"/>
        </w:rPr>
        <w:t>深化校企合作</w:t>
      </w:r>
    </w:p>
    <w:p>
      <w:pPr>
        <w:pStyle w:val="6"/>
        <w:numPr>
          <w:ilvl w:val="0"/>
          <w:numId w:val="0"/>
        </w:numPr>
        <w:bidi w:val="0"/>
        <w:ind w:firstLine="480" w:firstLineChars="200"/>
        <w:rPr>
          <w:rFonts w:hint="eastAsia"/>
        </w:rPr>
      </w:pPr>
      <w:r>
        <w:rPr>
          <w:rFonts w:hint="eastAsia"/>
          <w:lang w:val="en-US" w:eastAsia="zh-CN"/>
        </w:rPr>
        <w:t>A</w:t>
      </w:r>
      <w:r>
        <w:rPr>
          <w:rFonts w:hint="eastAsia"/>
        </w:rPr>
        <w:t>进一步与企业建立长期有效稳定的校企合作机制，实现学校所有专业都有对应的深度合作的企业，也有更多当地名优企业与我校合作。计划每年增加与1-2个名优企业达成校企合作，到2025年学校与5-6个当地名优企业建立长期有效稳定的合作机制。</w:t>
      </w:r>
    </w:p>
    <w:p>
      <w:pPr>
        <w:pStyle w:val="6"/>
        <w:numPr>
          <w:ilvl w:val="0"/>
          <w:numId w:val="0"/>
        </w:numPr>
        <w:bidi w:val="0"/>
        <w:ind w:firstLine="480" w:firstLineChars="200"/>
        <w:rPr>
          <w:rFonts w:hint="eastAsia"/>
        </w:rPr>
      </w:pPr>
      <w:r>
        <w:rPr>
          <w:rFonts w:hint="eastAsia"/>
          <w:lang w:val="en-US" w:eastAsia="zh-CN"/>
        </w:rPr>
        <w:t>B</w:t>
      </w:r>
      <w:r>
        <w:rPr>
          <w:rFonts w:hint="eastAsia"/>
        </w:rPr>
        <w:t>规划建设“一专业一龙头企业”的实习实践基地，提升校外合作企业“实习实训基地”的建设，分年级有计划组织学生到本专业龙头企业见习、实习。</w:t>
      </w:r>
    </w:p>
    <w:p>
      <w:pPr>
        <w:pStyle w:val="6"/>
        <w:numPr>
          <w:ilvl w:val="0"/>
          <w:numId w:val="0"/>
        </w:numPr>
        <w:bidi w:val="0"/>
        <w:ind w:firstLine="480" w:firstLineChars="200"/>
        <w:rPr>
          <w:rFonts w:hint="eastAsia"/>
        </w:rPr>
      </w:pPr>
      <w:r>
        <w:rPr>
          <w:rFonts w:hint="eastAsia"/>
          <w:lang w:val="en-US" w:eastAsia="zh-CN"/>
        </w:rPr>
        <w:t>C</w:t>
      </w:r>
      <w:r>
        <w:rPr>
          <w:rFonts w:hint="eastAsia"/>
        </w:rPr>
        <w:t>健全学生到企业等用人单位实习的管理制度，完善工作机制和配套措施；落实学生顶岗实习责任保险政策，帮助学生获得相应报酬。</w:t>
      </w:r>
    </w:p>
    <w:p>
      <w:pPr>
        <w:pStyle w:val="6"/>
        <w:numPr>
          <w:ilvl w:val="0"/>
          <w:numId w:val="0"/>
        </w:numPr>
        <w:bidi w:val="0"/>
        <w:ind w:firstLine="480" w:firstLineChars="200"/>
        <w:rPr>
          <w:rFonts w:hint="eastAsia"/>
        </w:rPr>
      </w:pPr>
      <w:r>
        <w:rPr>
          <w:rFonts w:hint="eastAsia"/>
          <w:lang w:val="en-US" w:eastAsia="zh-CN"/>
        </w:rPr>
        <w:t>D</w:t>
      </w:r>
      <w:r>
        <w:rPr>
          <w:rFonts w:hint="eastAsia"/>
        </w:rPr>
        <w:t>建立完善聘任企业高技能人才和社会能工巧匠任教机制，实现学生技能培训与企业技术需求的高精准对接。</w:t>
      </w:r>
    </w:p>
    <w:p>
      <w:pPr>
        <w:pStyle w:val="6"/>
        <w:numPr>
          <w:ilvl w:val="0"/>
          <w:numId w:val="0"/>
        </w:numPr>
        <w:bidi w:val="0"/>
        <w:ind w:firstLine="480" w:firstLineChars="200"/>
        <w:rPr>
          <w:rFonts w:hint="eastAsia"/>
        </w:rPr>
      </w:pPr>
      <w:r>
        <w:rPr>
          <w:rFonts w:hint="eastAsia"/>
          <w:lang w:val="en-US" w:eastAsia="zh-CN"/>
        </w:rPr>
        <w:t>E</w:t>
      </w:r>
      <w:r>
        <w:rPr>
          <w:rFonts w:hint="eastAsia"/>
        </w:rPr>
        <w:t>建立学校、行业、企业共同参与的教育教学评价机制，成立各专业相应的人才培养指导委员会，真正让合作企业参与到学校的专业建设中来，实现专业的双精准建设，深化校企合作。</w:t>
      </w:r>
    </w:p>
    <w:p>
      <w:pPr>
        <w:pStyle w:val="6"/>
        <w:numPr>
          <w:ilvl w:val="0"/>
          <w:numId w:val="0"/>
        </w:numPr>
        <w:bidi w:val="0"/>
        <w:ind w:firstLine="480" w:firstLineChars="200"/>
        <w:rPr>
          <w:rFonts w:hint="eastAsia"/>
        </w:rPr>
      </w:pPr>
      <w:r>
        <w:rPr>
          <w:rFonts w:hint="eastAsia"/>
          <w:lang w:val="en-US" w:eastAsia="zh-CN"/>
        </w:rPr>
        <w:t>F</w:t>
      </w:r>
      <w:r>
        <w:rPr>
          <w:rFonts w:hint="eastAsia"/>
        </w:rPr>
        <w:t>加大“双精准”示范专业建设范围，在原有2个省级双精准示范专业的基础上，新增建3个双精准示范专业，以高品位的专业群带动提升与名企业长期有效稳定的校企合作机制的建立。</w:t>
      </w:r>
    </w:p>
    <w:p>
      <w:pPr>
        <w:pStyle w:val="6"/>
        <w:numPr>
          <w:ilvl w:val="0"/>
          <w:numId w:val="0"/>
        </w:numPr>
        <w:bidi w:val="0"/>
        <w:ind w:firstLine="480" w:firstLineChars="200"/>
        <w:rPr>
          <w:rFonts w:hint="eastAsia"/>
        </w:rPr>
      </w:pPr>
      <w:r>
        <w:rPr>
          <w:rFonts w:hint="eastAsia"/>
          <w:lang w:val="en-US" w:eastAsia="zh-CN"/>
        </w:rPr>
        <w:t>G</w:t>
      </w:r>
      <w:r>
        <w:rPr>
          <w:rFonts w:hint="eastAsia"/>
        </w:rPr>
        <w:t>加大订单培养、现代学徒制校企合作办学力度，以烹饪专业、电子商务、学前教育等专业为龙头带动校企深度合作。</w:t>
      </w:r>
    </w:p>
    <w:p>
      <w:pPr>
        <w:pStyle w:val="6"/>
        <w:numPr>
          <w:ilvl w:val="0"/>
          <w:numId w:val="0"/>
        </w:numPr>
        <w:bidi w:val="0"/>
        <w:ind w:firstLine="480" w:firstLineChars="200"/>
        <w:rPr>
          <w:rFonts w:hint="eastAsia"/>
        </w:rPr>
      </w:pPr>
      <w:r>
        <w:rPr>
          <w:rFonts w:hint="eastAsia"/>
          <w:lang w:val="en-US" w:eastAsia="zh-CN"/>
        </w:rPr>
        <w:t>H</w:t>
      </w:r>
      <w:r>
        <w:rPr>
          <w:rFonts w:hint="eastAsia"/>
        </w:rPr>
        <w:t>加大“能工巧匠进校园”引进力度。行业、企业的“行家里手”全面覆盖到汽修、数控、电子信息等工科类专业，并定期到学校开展实训指导。</w:t>
      </w:r>
    </w:p>
    <w:p>
      <w:pPr>
        <w:pStyle w:val="6"/>
        <w:numPr>
          <w:ilvl w:val="0"/>
          <w:numId w:val="0"/>
        </w:numPr>
        <w:bidi w:val="0"/>
        <w:ind w:firstLine="480" w:firstLineChars="200"/>
        <w:rPr>
          <w:rFonts w:hint="eastAsia"/>
        </w:rPr>
      </w:pPr>
      <w:r>
        <w:rPr>
          <w:rFonts w:hint="eastAsia"/>
          <w:lang w:val="en-US" w:eastAsia="zh-CN"/>
        </w:rPr>
        <w:t>I</w:t>
      </w:r>
      <w:r>
        <w:rPr>
          <w:rFonts w:hint="eastAsia"/>
        </w:rPr>
        <w:t>引产入校，双精准建设，在烹饪专业中建设“校园车间”、在电子商务专业中建设“创客空间”，让学生在校园中就能真正体验到企业的真实工作环境。</w:t>
      </w:r>
    </w:p>
    <w:p>
      <w:pPr>
        <w:pStyle w:val="6"/>
        <w:numPr>
          <w:ilvl w:val="0"/>
          <w:numId w:val="0"/>
        </w:numPr>
        <w:bidi w:val="0"/>
        <w:ind w:firstLine="480" w:firstLineChars="200"/>
        <w:rPr>
          <w:rFonts w:hint="eastAsia"/>
        </w:rPr>
      </w:pPr>
      <w:r>
        <w:rPr>
          <w:rFonts w:hint="eastAsia"/>
          <w:lang w:val="en-US" w:eastAsia="zh-CN"/>
        </w:rPr>
        <w:t>J</w:t>
      </w:r>
      <w:r>
        <w:rPr>
          <w:rFonts w:hint="eastAsia"/>
        </w:rPr>
        <w:t>充分利用学校教育资源，积极为企业、行业的培训以及生产、咨询和技术服务提供服务，密切校企合作关系。</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rPr>
          <w:rFonts w:hint="eastAsia" w:ascii="微软雅黑" w:hAnsi="微软雅黑" w:eastAsia="微软雅黑" w:cs="微软雅黑"/>
        </w:rPr>
        <w:t>④</w:t>
      </w:r>
      <w:r>
        <w:rPr>
          <w:rFonts w:hint="eastAsia"/>
        </w:rPr>
        <w:t>创新教育教学</w:t>
      </w:r>
    </w:p>
    <w:p>
      <w:pPr>
        <w:pStyle w:val="6"/>
        <w:numPr>
          <w:ilvl w:val="0"/>
          <w:numId w:val="0"/>
        </w:numPr>
        <w:bidi w:val="0"/>
        <w:ind w:firstLine="480" w:firstLineChars="200"/>
        <w:rPr>
          <w:rFonts w:hint="eastAsia"/>
        </w:rPr>
      </w:pPr>
      <w:r>
        <w:rPr>
          <w:rFonts w:hint="eastAsia"/>
          <w:lang w:val="en-US" w:eastAsia="zh-CN"/>
        </w:rPr>
        <w:t>A</w:t>
      </w:r>
      <w:r>
        <w:rPr>
          <w:rFonts w:hint="eastAsia"/>
        </w:rPr>
        <w:t>立德树人，坚持育人为本、德育为先，继续推行“一二三四五”办学策略，践行依法治校与人文关怀，同时把行业企业文化精神融入人才培养全过程，达成“性格开朗、兴趣广泛、一技之长、社会欢迎”的人才培养目标，建设具有鲜明职业教育特色的校园文化。</w:t>
      </w:r>
    </w:p>
    <w:p>
      <w:pPr>
        <w:pStyle w:val="6"/>
        <w:numPr>
          <w:ilvl w:val="0"/>
          <w:numId w:val="0"/>
        </w:numPr>
        <w:bidi w:val="0"/>
        <w:ind w:firstLine="480" w:firstLineChars="200"/>
        <w:rPr>
          <w:rFonts w:hint="eastAsia"/>
        </w:rPr>
      </w:pPr>
      <w:r>
        <w:rPr>
          <w:rFonts w:hint="eastAsia"/>
          <w:lang w:val="en-US" w:eastAsia="zh-CN"/>
        </w:rPr>
        <w:t>B</w:t>
      </w:r>
      <w:r>
        <w:rPr>
          <w:rFonts w:hint="eastAsia"/>
        </w:rPr>
        <w:t>进一步完善对接产业、企业、岗位的专业建设和动态调整机制，做精“电子与信息技术”“机电技术应用”“计算机应用”三省重专业、“计算机动漫游戏与制作”“学前教育”二个省级“双精准”示范专业和“中餐烹饪与营养膳食”“电子商务”“汽车运用与维修”等专业，做大做强“数控技术应用”“会计”“音乐”“美术设计与制作”等专业，主动适应地方经济社会发展和企业用人需求。</w:t>
      </w:r>
    </w:p>
    <w:p>
      <w:pPr>
        <w:pStyle w:val="6"/>
        <w:numPr>
          <w:ilvl w:val="0"/>
          <w:numId w:val="0"/>
        </w:numPr>
        <w:bidi w:val="0"/>
        <w:ind w:firstLine="480" w:firstLineChars="200"/>
        <w:rPr>
          <w:rFonts w:hint="eastAsia"/>
        </w:rPr>
      </w:pPr>
      <w:r>
        <w:rPr>
          <w:rFonts w:hint="eastAsia"/>
          <w:lang w:val="en-US" w:eastAsia="zh-CN"/>
        </w:rPr>
        <w:t>C</w:t>
      </w:r>
      <w:r>
        <w:rPr>
          <w:rFonts w:hint="eastAsia"/>
        </w:rPr>
        <w:t xml:space="preserve">把“中餐烹饪与营养膳食”“电子商务”“汽车运用与维修”三个专业纳入到申报省级“双精准”示范专业建设范围。提升原有2个省级“双精准”示范专业和3个省级重点专业的专业场室、设备设施配套建设。到2012年，共建成3个省级重点专业、5个省级双精准示范专业的高品位专业群，形成科学合理、特色鲜明的专业结构，精准对接行业发展对专业人才培养的需求。    </w:t>
      </w:r>
    </w:p>
    <w:p>
      <w:pPr>
        <w:pStyle w:val="6"/>
        <w:numPr>
          <w:ilvl w:val="0"/>
          <w:numId w:val="0"/>
        </w:numPr>
        <w:bidi w:val="0"/>
        <w:ind w:firstLine="480" w:firstLineChars="200"/>
        <w:rPr>
          <w:rFonts w:hint="eastAsia"/>
        </w:rPr>
      </w:pPr>
      <w:r>
        <w:rPr>
          <w:rFonts w:hint="eastAsia"/>
          <w:lang w:val="en-US" w:eastAsia="zh-CN"/>
        </w:rPr>
        <w:t>D</w:t>
      </w:r>
      <w:r>
        <w:rPr>
          <w:rFonts w:hint="eastAsia"/>
        </w:rPr>
        <w:t>加大专业课程体系的开发力度和教材建设：建设5门精品课程：《三维动画》、《热菜》、《网店运营》、《电力拖动》、《发动机》。</w:t>
      </w:r>
    </w:p>
    <w:p>
      <w:pPr>
        <w:pStyle w:val="6"/>
        <w:numPr>
          <w:ilvl w:val="0"/>
          <w:numId w:val="0"/>
        </w:numPr>
        <w:bidi w:val="0"/>
        <w:ind w:firstLine="480" w:firstLineChars="200"/>
        <w:rPr>
          <w:rFonts w:hint="eastAsia"/>
        </w:rPr>
      </w:pPr>
      <w:r>
        <w:rPr>
          <w:rFonts w:hint="eastAsia"/>
          <w:lang w:val="en-US" w:eastAsia="zh-CN"/>
        </w:rPr>
        <w:t>E</w:t>
      </w:r>
      <w:r>
        <w:rPr>
          <w:rFonts w:hint="eastAsia"/>
        </w:rPr>
        <w:t>建设3门重点课程：《单片机原理与应用》、《原料学》、《电脑美设》。</w:t>
      </w:r>
    </w:p>
    <w:p>
      <w:pPr>
        <w:pStyle w:val="6"/>
        <w:numPr>
          <w:ilvl w:val="0"/>
          <w:numId w:val="0"/>
        </w:numPr>
        <w:bidi w:val="0"/>
        <w:ind w:firstLine="480" w:firstLineChars="200"/>
        <w:rPr>
          <w:rFonts w:hint="eastAsia"/>
        </w:rPr>
      </w:pPr>
      <w:r>
        <w:rPr>
          <w:rFonts w:hint="eastAsia"/>
          <w:lang w:val="en-US" w:eastAsia="zh-CN"/>
        </w:rPr>
        <w:t>F</w:t>
      </w:r>
      <w:r>
        <w:rPr>
          <w:rFonts w:hint="eastAsia"/>
        </w:rPr>
        <w:t>与企业、行业专家共同开发《中餐烹饪与营养膳食》系列教材、《电子商务》系列教材、《机电技术专业项目化教学》系列教材等。</w:t>
      </w:r>
    </w:p>
    <w:p>
      <w:pPr>
        <w:pStyle w:val="6"/>
        <w:numPr>
          <w:ilvl w:val="0"/>
          <w:numId w:val="0"/>
        </w:numPr>
        <w:bidi w:val="0"/>
        <w:ind w:firstLine="480" w:firstLineChars="200"/>
        <w:rPr>
          <w:rFonts w:hint="eastAsia"/>
        </w:rPr>
      </w:pPr>
      <w:r>
        <w:rPr>
          <w:rFonts w:hint="eastAsia"/>
          <w:lang w:val="en-US" w:eastAsia="zh-CN"/>
        </w:rPr>
        <w:t>G</w:t>
      </w:r>
      <w:r>
        <w:rPr>
          <w:rFonts w:hint="eastAsia"/>
        </w:rPr>
        <w:t>加强专业资源网站建设。建设电子与信息技术、计算机应用、机电技术应用、汽车运用与维修、数控技术、电子商务、学前教育等专业网上资源站，所有专业主干课程、重点课程、精品课程均可在校园网展示，实现教师、学生的资源共享。</w:t>
      </w:r>
    </w:p>
    <w:p>
      <w:pPr>
        <w:pStyle w:val="6"/>
        <w:numPr>
          <w:ilvl w:val="0"/>
          <w:numId w:val="0"/>
        </w:numPr>
        <w:bidi w:val="0"/>
        <w:ind w:leftChars="200"/>
        <w:rPr>
          <w:rFonts w:hint="eastAsia"/>
        </w:rPr>
      </w:pPr>
      <w:r>
        <w:rPr>
          <w:rFonts w:hint="eastAsia"/>
          <w:lang w:val="en-US" w:eastAsia="zh-CN"/>
        </w:rPr>
        <w:t>H</w:t>
      </w:r>
      <w:r>
        <w:rPr>
          <w:rFonts w:hint="eastAsia"/>
        </w:rPr>
        <w:t>完善学生的综合性评价体系，把企业的评价和学校的评价纳入其中。</w:t>
      </w:r>
    </w:p>
    <w:p>
      <w:pPr>
        <w:pStyle w:val="6"/>
        <w:numPr>
          <w:ilvl w:val="0"/>
          <w:numId w:val="0"/>
        </w:numPr>
        <w:bidi w:val="0"/>
        <w:ind w:firstLine="480" w:firstLineChars="200"/>
        <w:rPr>
          <w:rFonts w:hint="eastAsia"/>
        </w:rPr>
      </w:pPr>
      <w:r>
        <w:rPr>
          <w:rFonts w:hint="eastAsia"/>
          <w:lang w:val="en-US" w:eastAsia="zh-CN"/>
        </w:rPr>
        <w:t>I</w:t>
      </w:r>
      <w:r>
        <w:rPr>
          <w:rFonts w:hint="eastAsia"/>
        </w:rPr>
        <w:t>深入开展项目教学、案例教学、场景教学、模拟教学和岗位教学，专业教学过程对接生产过程。</w:t>
      </w:r>
    </w:p>
    <w:p>
      <w:pPr>
        <w:pStyle w:val="5"/>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pPr>
      <w:r>
        <w:rPr>
          <w:rFonts w:hint="eastAsia" w:ascii="微软雅黑" w:hAnsi="微软雅黑" w:eastAsia="微软雅黑" w:cs="微软雅黑"/>
          <w:lang w:eastAsia="zh-CN"/>
        </w:rPr>
        <w:t>⑤</w:t>
      </w:r>
      <w:r>
        <w:rPr>
          <w:rFonts w:hint="eastAsia"/>
        </w:rPr>
        <w:t>强化队伍建设</w:t>
      </w:r>
    </w:p>
    <w:p>
      <w:pPr>
        <w:pStyle w:val="6"/>
        <w:numPr>
          <w:ilvl w:val="0"/>
          <w:numId w:val="0"/>
        </w:numPr>
        <w:bidi w:val="0"/>
        <w:ind w:firstLine="480" w:firstLineChars="200"/>
        <w:rPr>
          <w:rFonts w:hint="eastAsia"/>
        </w:rPr>
      </w:pPr>
      <w:r>
        <w:rPr>
          <w:rFonts w:hint="eastAsia"/>
          <w:lang w:val="en-US" w:eastAsia="zh-CN"/>
        </w:rPr>
        <w:t>A</w:t>
      </w:r>
      <w:r>
        <w:rPr>
          <w:rFonts w:hint="eastAsia"/>
        </w:rPr>
        <w:t>建设一支由专业带头人、骨干教师、“双师型”教师和从行业企业聘请的技术专家、能工巧匠构成的专兼结合的更强有力的教师团队。</w:t>
      </w:r>
    </w:p>
    <w:p>
      <w:pPr>
        <w:pStyle w:val="7"/>
        <w:keepNext/>
        <w:keepLines/>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rPr>
      </w:pPr>
      <w:r>
        <w:rPr>
          <w:rFonts w:hint="eastAsia"/>
        </w:rPr>
        <w:t>学科带头人的培养：在电子与信息技术、计算机应用、机电技术应用、中餐烹饪与营养膳食、计算机动漫与游戏制作、电子商务、学前教育、汽车运用与维修、数控等9个主干专业中，到2025年培养18名学科带头人。</w:t>
      </w:r>
    </w:p>
    <w:p>
      <w:pPr>
        <w:pStyle w:val="7"/>
        <w:keepNext/>
        <w:keepLines/>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rPr>
      </w:pPr>
      <w:r>
        <w:rPr>
          <w:rFonts w:hint="eastAsia"/>
        </w:rPr>
        <w:t>骨干教师的培养：每年增配、培养6-8名“双师型”教师，到2025年，预计增加“双师型”教师20名，使全校“双师型”教师占专业教师的比例达80%以上。</w:t>
      </w:r>
    </w:p>
    <w:p>
      <w:pPr>
        <w:pStyle w:val="7"/>
        <w:keepNext/>
        <w:keepLines/>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rPr>
      </w:pPr>
      <w:r>
        <w:rPr>
          <w:rFonts w:hint="eastAsia"/>
        </w:rPr>
        <w:t>人才引进：到2025年，聘请30名左右的行业技术专家、企业工程技术人员和社会能工巧匠担任学校的兼职教师。</w:t>
      </w:r>
    </w:p>
    <w:p>
      <w:pPr>
        <w:pStyle w:val="6"/>
        <w:numPr>
          <w:ilvl w:val="0"/>
          <w:numId w:val="0"/>
        </w:numPr>
        <w:bidi w:val="0"/>
        <w:ind w:firstLine="480" w:firstLineChars="200"/>
        <w:rPr>
          <w:rFonts w:hint="eastAsia"/>
        </w:rPr>
      </w:pPr>
      <w:r>
        <w:rPr>
          <w:rFonts w:hint="eastAsia"/>
          <w:lang w:val="en-US" w:eastAsia="zh-CN"/>
        </w:rPr>
        <w:t>B</w:t>
      </w:r>
      <w:r>
        <w:rPr>
          <w:rFonts w:hint="eastAsia"/>
        </w:rPr>
        <w:t>加强政治理论学习，提升职教队伍师德修养。精心组织教职工的各种教育教研活动和政治学习，努力践行“立德树人”教育理念，倡导优良教风学风。</w:t>
      </w:r>
    </w:p>
    <w:p>
      <w:pPr>
        <w:pStyle w:val="6"/>
        <w:numPr>
          <w:ilvl w:val="0"/>
          <w:numId w:val="0"/>
        </w:numPr>
        <w:bidi w:val="0"/>
        <w:ind w:firstLine="480" w:firstLineChars="200"/>
        <w:rPr>
          <w:rFonts w:hint="eastAsia"/>
        </w:rPr>
      </w:pPr>
      <w:r>
        <w:rPr>
          <w:rFonts w:hint="eastAsia"/>
          <w:lang w:val="en-US" w:eastAsia="zh-CN"/>
        </w:rPr>
        <w:t>C</w:t>
      </w:r>
      <w:r>
        <w:rPr>
          <w:rFonts w:hint="eastAsia"/>
        </w:rPr>
        <w:t>建立和完善教师激励与奖励机制，强化师德师风建设，营造“争先创优”的氛围。</w:t>
      </w:r>
    </w:p>
    <w:p>
      <w:pPr>
        <w:pStyle w:val="6"/>
        <w:numPr>
          <w:ilvl w:val="0"/>
          <w:numId w:val="0"/>
        </w:numPr>
        <w:bidi w:val="0"/>
        <w:ind w:firstLine="480" w:firstLineChars="200"/>
        <w:rPr>
          <w:rFonts w:hint="eastAsia"/>
        </w:rPr>
      </w:pPr>
      <w:r>
        <w:rPr>
          <w:rFonts w:hint="eastAsia"/>
          <w:lang w:val="en-US" w:eastAsia="zh-CN"/>
        </w:rPr>
        <w:t>D</w:t>
      </w:r>
      <w:r>
        <w:rPr>
          <w:rFonts w:hint="eastAsia"/>
        </w:rPr>
        <w:t>多种形式提高教师队伍业务素质。学校分期分批选送教师参加省、国家各级各类培训，完善教师到企业实践制度，专业带头人、骨干教师、实习指导教师每两年中安排两个月时间到企业或生产服务一线实践，努力打造“双师型”教师队伍，将校内培训与校外培训、学历与素质提高相结合起来，全面提高教师队伍的综合素质。</w:t>
      </w:r>
    </w:p>
    <w:p>
      <w:pPr>
        <w:pStyle w:val="6"/>
        <w:numPr>
          <w:ilvl w:val="0"/>
          <w:numId w:val="0"/>
        </w:numPr>
        <w:bidi w:val="0"/>
        <w:ind w:firstLine="480" w:firstLineChars="200"/>
        <w:rPr>
          <w:rFonts w:hint="eastAsia"/>
        </w:rPr>
      </w:pPr>
      <w:r>
        <w:rPr>
          <w:rFonts w:hint="eastAsia"/>
          <w:lang w:val="en-US" w:eastAsia="zh-CN"/>
        </w:rPr>
        <w:t>E</w:t>
      </w:r>
      <w:r>
        <w:rPr>
          <w:rFonts w:hint="eastAsia"/>
        </w:rPr>
        <w:t>认真做好学校后备年青年干部教师的培养工作，多层次、全方位地培养和选拔优秀年轻教师，为他们的锻炼成长搭建舞台、创造条件。</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rPr>
          <w:rFonts w:hint="eastAsia" w:ascii="微软雅黑" w:hAnsi="微软雅黑" w:eastAsia="微软雅黑" w:cs="微软雅黑"/>
        </w:rPr>
        <w:t>⑥</w:t>
      </w:r>
      <w:r>
        <w:rPr>
          <w:rFonts w:hint="eastAsia"/>
        </w:rPr>
        <w:t>提升办学效益</w:t>
      </w:r>
    </w:p>
    <w:p>
      <w:pPr>
        <w:pStyle w:val="6"/>
        <w:numPr>
          <w:ilvl w:val="0"/>
          <w:numId w:val="0"/>
        </w:numPr>
        <w:bidi w:val="0"/>
        <w:ind w:firstLine="480" w:firstLineChars="200"/>
        <w:rPr>
          <w:rFonts w:hint="eastAsia"/>
        </w:rPr>
      </w:pPr>
      <w:r>
        <w:rPr>
          <w:rFonts w:hint="eastAsia"/>
          <w:lang w:val="en-US" w:eastAsia="zh-CN"/>
        </w:rPr>
        <w:t>A</w:t>
      </w:r>
      <w:r>
        <w:rPr>
          <w:rFonts w:hint="eastAsia"/>
        </w:rPr>
        <w:t>拓宽办学门路，扩大办学规模。在原有与几所省内高职院校联办的基础上，再拓展与企业、高校的联合办学，积极推行校企合作、工学结合，力争2021年全日制在校生达到3500人规模，社会培训1000人次以上；2025年，全日制在校生达到4000人规模，社会培训2000人次以上。成为相关行业、企业技能型人才培养、培训和输送基地，突出骨干、示范和引领作用。</w:t>
      </w:r>
    </w:p>
    <w:p>
      <w:pPr>
        <w:pStyle w:val="6"/>
        <w:numPr>
          <w:ilvl w:val="0"/>
          <w:numId w:val="0"/>
        </w:numPr>
        <w:bidi w:val="0"/>
        <w:ind w:firstLine="480" w:firstLineChars="200"/>
        <w:rPr>
          <w:rFonts w:hint="eastAsia"/>
        </w:rPr>
      </w:pPr>
      <w:r>
        <w:rPr>
          <w:rFonts w:hint="eastAsia"/>
          <w:lang w:val="en-US" w:eastAsia="zh-CN"/>
        </w:rPr>
        <w:t>B</w:t>
      </w:r>
      <w:r>
        <w:rPr>
          <w:rFonts w:hint="eastAsia"/>
        </w:rPr>
        <w:t>加大骨干专业、双精准专业和“三二衔接”高职院校联办力度，以高层次、高质量的办学吸引更多更高质量的名优企业与学校合作共赢，完善提升就业服务体系，同时也提升培养人才的技术含金量，高质量服务地方产业经济发展，毕业生就业率高于95%，就业质量高。</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Arial" w:hAnsi="Arial"/>
        </w:rPr>
      </w:pPr>
      <w:r>
        <w:rPr>
          <w:rFonts w:hint="eastAsia" w:ascii="微软雅黑" w:hAnsi="微软雅黑" w:eastAsia="微软雅黑" w:cs="微软雅黑"/>
        </w:rPr>
        <w:t>⑥</w:t>
      </w:r>
      <w:r>
        <w:rPr>
          <w:rFonts w:hint="eastAsia" w:ascii="Arial" w:hAnsi="Arial"/>
        </w:rPr>
        <w:t>“十四五”发展的保障措施</w:t>
      </w:r>
    </w:p>
    <w:p>
      <w:pPr>
        <w:pStyle w:val="6"/>
        <w:numPr>
          <w:ilvl w:val="0"/>
          <w:numId w:val="0"/>
        </w:numPr>
        <w:bidi w:val="0"/>
        <w:ind w:leftChars="200"/>
      </w:pPr>
      <w:r>
        <w:rPr>
          <w:rFonts w:hint="eastAsia"/>
          <w:lang w:val="en-US" w:eastAsia="zh-CN"/>
        </w:rPr>
        <w:t>A</w:t>
      </w:r>
      <w:r>
        <w:rPr>
          <w:rFonts w:hint="eastAsia"/>
        </w:rPr>
        <w:t>强化思想引领，奠定坚实的思想基础</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坚持用中国特色社会主义理论武装广大师生，坚定理想信念，提高理论素养和政策水平，注重运用理论学习成果解决实际问题。加强和改进思想政治工作，以社会主义核心价值观引领师德师风建设。牢固树立“育人为本、德育为先”理念，提高教书育人、管理育人、服务育人的自觉性。采取多种形式组织学习，把学校发展与个人发展结合起来，把智慧和力量凝聚到培养合格人才、创建中职名校的战略目标上来，调动一切积极因素，共创文明和谐、科学发展的新局面。</w:t>
      </w:r>
    </w:p>
    <w:p>
      <w:pPr>
        <w:pStyle w:val="6"/>
        <w:numPr>
          <w:ilvl w:val="0"/>
          <w:numId w:val="0"/>
        </w:numPr>
        <w:bidi w:val="0"/>
        <w:ind w:leftChars="200"/>
      </w:pPr>
      <w:r>
        <w:rPr>
          <w:rFonts w:hint="eastAsia"/>
          <w:lang w:val="en-US" w:eastAsia="zh-CN"/>
        </w:rPr>
        <w:t>B</w:t>
      </w:r>
      <w:r>
        <w:rPr>
          <w:rFonts w:hint="eastAsia"/>
        </w:rPr>
        <w:t>加强党建工作，提供强有力的组织保障</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认真落实党委领导下的校长负责制，建立健全党政分工合作、协调运行的工作机制。坚持不懈抓好党风廉政建设和作风建设，抓好领导班子建设、学习型党组织建设和基层党支部建设，抓好全体党员学习教育，提高党组织的凝聚力和战斗力，充分发挥党员先锋模范作用。抓好广大教职工廉洁从教教育，杜绝腐败和违规违纪现象发生。坚持党管干部、党管人才原则，努力建设结构合理、业务精湛、充满活力、师德高尚的高素质教学团队和管理队伍，为学校发展提供强有力的组织保障和人才保障。</w:t>
      </w:r>
    </w:p>
    <w:p>
      <w:pPr>
        <w:pStyle w:val="6"/>
        <w:numPr>
          <w:ilvl w:val="0"/>
          <w:numId w:val="0"/>
        </w:numPr>
        <w:bidi w:val="0"/>
        <w:ind w:leftChars="200"/>
      </w:pPr>
      <w:r>
        <w:rPr>
          <w:rFonts w:hint="eastAsia"/>
          <w:lang w:val="en-US" w:eastAsia="zh-CN"/>
        </w:rPr>
        <w:t>C</w:t>
      </w:r>
      <w:r>
        <w:rPr>
          <w:rFonts w:hint="eastAsia"/>
        </w:rPr>
        <w:t>强化治理体系建设，提升管理能力和服务水平</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坚持依法治校，围绕现代学校治理体系构建和现代治理能力提升，积极推进内部管理体制改革，完善校部二级管理体制。加强制度建设，完善内部治理结构和运行机制；坚持教职工代表大会制度，健全师生员工参与民主管理和监督的工作机制。加强对工会、团委等群团组织的领导，探索和完善师生员工、群众团体参与民主决策、民主管理和民主监督的有效实现形式， 调动参与民主管理的积极性，为实现学校发展目标献计出力。</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面向未来，揭阳捷和职业技术学校正站在一个新的历史起点上。全校教职员工将在上级党委政府的正确领导下，同心同德，团结奋斗， 开拓进取，全面完成“十四五”发展规划的目标与任务，共同创造学校更加美好的明天。</w:t>
      </w:r>
    </w:p>
    <w:p>
      <w:pPr>
        <w:pStyle w:val="4"/>
        <w:bidi w:val="0"/>
        <w:ind w:left="185" w:leftChars="77" w:firstLine="295" w:firstLineChars="105"/>
        <w:rPr>
          <w:rFonts w:hint="eastAsia"/>
          <w:lang w:val="en-US" w:eastAsia="zh-CN"/>
        </w:rPr>
      </w:pPr>
      <w:r>
        <w:rPr>
          <w:rFonts w:hint="eastAsia"/>
          <w:lang w:val="en-US" w:eastAsia="zh-CN"/>
        </w:rPr>
        <w:t>落实高职扩招情况</w:t>
      </w:r>
    </w:p>
    <w:p>
      <w:pPr>
        <w:pStyle w:val="6"/>
        <w:numPr>
          <w:ilvl w:val="0"/>
          <w:numId w:val="0"/>
        </w:numPr>
        <w:bidi w:val="0"/>
        <w:ind w:firstLine="240" w:firstLineChars="100"/>
        <w:rPr>
          <w:rFonts w:hint="eastAsia"/>
        </w:rPr>
      </w:pPr>
      <w:r>
        <w:rPr>
          <w:rFonts w:hint="eastAsia"/>
          <w:lang w:eastAsia="zh-CN"/>
        </w:rPr>
        <w:t>（</w:t>
      </w:r>
      <w:r>
        <w:rPr>
          <w:rFonts w:hint="eastAsia"/>
          <w:lang w:val="en-US" w:eastAsia="zh-CN"/>
        </w:rPr>
        <w:t>1</w:t>
      </w:r>
      <w:r>
        <w:rPr>
          <w:rFonts w:hint="eastAsia"/>
          <w:lang w:eastAsia="zh-CN"/>
        </w:rPr>
        <w:t>）</w:t>
      </w:r>
      <w:r>
        <w:rPr>
          <w:rFonts w:hint="eastAsia"/>
        </w:rPr>
        <w:t>因为新冠疫情原因，本学期高职扩招学前教育专业线上教学，教学时间、教学方式安排如下：</w:t>
      </w:r>
    </w:p>
    <w:p>
      <w:pPr>
        <w:pStyle w:val="7"/>
        <w:keepNext/>
        <w:keepLines/>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rPr>
      </w:pPr>
      <w:r>
        <w:rPr>
          <w:rFonts w:hint="eastAsia"/>
        </w:rPr>
        <w:t>高职扩招学前教育专业教学时间为2021年3月1日至2021年6月27日；2020年揭阳市退役士兵中职技能培训教学时间为2021年3月15日至2021年7月4日。</w:t>
      </w:r>
    </w:p>
    <w:p>
      <w:pPr>
        <w:pStyle w:val="7"/>
        <w:keepNext/>
        <w:keepLines/>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rPr>
      </w:pPr>
      <w:r>
        <w:rPr>
          <w:rFonts w:hint="eastAsia"/>
        </w:rPr>
        <w:t>教学形式均为线上教学与面授相结合，结合学校和学员实际，以线上教学为主；考试考查也采取线上进行。</w:t>
      </w:r>
    </w:p>
    <w:p>
      <w:pPr>
        <w:pStyle w:val="6"/>
        <w:numPr>
          <w:ilvl w:val="0"/>
          <w:numId w:val="0"/>
        </w:numPr>
        <w:bidi w:val="0"/>
        <w:ind w:firstLine="480" w:firstLineChars="200"/>
        <w:rPr>
          <w:rFonts w:hint="eastAsia"/>
        </w:rPr>
      </w:pPr>
      <w:r>
        <w:rPr>
          <w:rFonts w:hint="eastAsia"/>
          <w:lang w:eastAsia="zh-CN"/>
        </w:rPr>
        <w:t>（</w:t>
      </w:r>
      <w:r>
        <w:rPr>
          <w:rFonts w:hint="eastAsia"/>
          <w:lang w:val="en-US" w:eastAsia="zh-CN"/>
        </w:rPr>
        <w:t>2</w:t>
      </w:r>
      <w:r>
        <w:rPr>
          <w:rFonts w:hint="eastAsia"/>
          <w:lang w:eastAsia="zh-CN"/>
        </w:rPr>
        <w:t>）</w:t>
      </w:r>
      <w:r>
        <w:rPr>
          <w:rFonts w:hint="eastAsia"/>
        </w:rPr>
        <w:t>学校按照上级要求，结合学校实际，线上教学降低学习难度，放缓学习进度，增加心理健康辅导课，严格控制作业量。为全面掌握教师网上教学、学生网上学习和家长意见等情况，学校网络课堂领导小组及成员深入禅境云课堂平台及各班级群，掌握第一手资料，发现问题及时反馈给相关教师，让教师对教学做出调整。由于准备工作扎实、充分，教师网上教学态度严谨认真，学校督查到位，高职扩招学前教育专业网上教学开展都非常顺利，学员对老师们认真负责的工作态度非常认可，总体来说线上学习效果良好。</w:t>
      </w:r>
    </w:p>
    <w:p>
      <w:pPr>
        <w:pStyle w:val="6"/>
        <w:numPr>
          <w:ilvl w:val="0"/>
          <w:numId w:val="0"/>
        </w:numPr>
        <w:bidi w:val="0"/>
        <w:ind w:leftChars="200"/>
        <w:rPr>
          <w:rFonts w:hint="eastAsia"/>
        </w:rPr>
      </w:pPr>
      <w:r>
        <w:rPr>
          <w:rFonts w:hint="eastAsia"/>
          <w:lang w:eastAsia="zh-CN"/>
        </w:rPr>
        <w:t>（</w:t>
      </w:r>
      <w:r>
        <w:rPr>
          <w:rFonts w:hint="eastAsia"/>
          <w:lang w:val="en-US" w:eastAsia="zh-CN"/>
        </w:rPr>
        <w:t>3</w:t>
      </w:r>
      <w:r>
        <w:rPr>
          <w:rFonts w:hint="eastAsia"/>
          <w:lang w:eastAsia="zh-CN"/>
        </w:rPr>
        <w:t>）</w:t>
      </w:r>
      <w:r>
        <w:rPr>
          <w:rFonts w:hint="eastAsia"/>
        </w:rPr>
        <w:t>强化双基，网上组织期末复习工作</w:t>
      </w:r>
    </w:p>
    <w:p>
      <w:pPr>
        <w:pStyle w:val="6"/>
        <w:numPr>
          <w:ilvl w:val="0"/>
          <w:numId w:val="0"/>
        </w:numPr>
        <w:bidi w:val="0"/>
        <w:ind w:firstLine="480" w:firstLineChars="200"/>
        <w:rPr>
          <w:rFonts w:hint="eastAsia"/>
        </w:rPr>
      </w:pPr>
      <w:r>
        <w:rPr>
          <w:rFonts w:hint="eastAsia"/>
        </w:rPr>
        <w:t>做好期末复习工作，是保证教学质量，圆满完成本学期教学工作任务的必要工作，为此，学校根据实际，在广泛征询教师意见的前提下，明确了本学期期末复习考试的指导思想，即强化“双基”，注重知识的系统性，降低难度。在这一思想指导下，各位任课教师在线上有条不紊地开展期末复习工作，并于2021年6月21-27日线上分别完成马克思主义中国化进程与青年学生使命担当、体育、乐理与视唱练耳基础和中国地理国情4科的考查工作和美术基础与技能、学前儿童行为观察与分析、幼儿舞蹈及编排和键盘乐器基础4科的考试工作。</w:t>
      </w:r>
    </w:p>
    <w:p>
      <w:pPr>
        <w:pStyle w:val="4"/>
        <w:bidi w:val="0"/>
        <w:ind w:left="425" w:leftChars="0" w:firstLine="53" w:firstLineChars="19"/>
        <w:rPr>
          <w:rFonts w:hint="eastAsia"/>
        </w:rPr>
      </w:pPr>
      <w:r>
        <w:rPr>
          <w:rFonts w:hint="eastAsia"/>
        </w:rPr>
        <w:t>促进产教融合校企合作情况</w:t>
      </w:r>
    </w:p>
    <w:p>
      <w:pPr>
        <w:pStyle w:val="5"/>
        <w:keepNext w:val="0"/>
        <w:keepLines w:val="0"/>
        <w:pageBreakBefore w:val="0"/>
        <w:widowControl w:val="0"/>
        <w:numPr>
          <w:ilvl w:val="0"/>
          <w:numId w:val="28"/>
        </w:numPr>
        <w:tabs>
          <w:tab w:val="left" w:pos="240"/>
          <w:tab w:val="clear" w:pos="0"/>
        </w:tabs>
        <w:kinsoku/>
        <w:wordWrap/>
        <w:overflowPunct/>
        <w:topLinePunct w:val="0"/>
        <w:autoSpaceDE/>
        <w:autoSpaceDN/>
        <w:bidi w:val="0"/>
        <w:adjustRightInd/>
        <w:snapToGrid/>
        <w:ind w:left="240" w:leftChars="100" w:firstLine="240" w:firstLineChars="100"/>
        <w:textAlignment w:val="auto"/>
        <w:rPr>
          <w:rFonts w:hint="eastAsia"/>
          <w:lang w:val="en-US" w:eastAsia="zh-CN"/>
        </w:rPr>
      </w:pPr>
      <w:r>
        <w:rPr>
          <w:rFonts w:hint="eastAsia"/>
          <w:lang w:val="en-US" w:eastAsia="zh-CN"/>
        </w:rPr>
        <w:t>校企合作基本情况</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2017年以来学校紧跟国家关于加强职业教育校企合作的政策要求，学校同企业的合作也开始进入了深水区。今年以来学校积极拓向纵深推进校企合作工作，期望取得实质性的发展。目前已经逐步从一开始的输送实习人才到企业开展顶岗实习，转变为今年通过外引内联引进企业开展目标明确人才培养定制化合作，即根据企业的岗位需求和技能要求，制定相应的培训课程，逐步争取获得实质性的转变。目前，与学校开展合作的企业有：广东巨轮股份有限公司、广东先捷电子股份有限公司、潮州三环（集团）股份有限公司、揭阳市科和电子实业有限公司等一批企业。开始从选拔学生、课程设置、组织教学到师资建设、行业认证、学生实习与就业等环节把企业一同引进参与，企业一线技术骨干为学生上课。实现了用人单位人才需求和职校人才培养“零距离”，缩短了毕业生进入企业工作后的适应、磨合期。同时解决了学生实习、就业的后顾之忧，大大提升了学校人才培养质量和办学能力，受到企业、学生的欢迎，实现了学校、企业、学生三赢的局面。</w:t>
      </w:r>
    </w:p>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与学校开展合作的部分企业如下：部分校企合作企业</w:t>
      </w:r>
    </w:p>
    <w:tbl>
      <w:tblPr>
        <w:tblStyle w:val="16"/>
        <w:tblpPr w:leftFromText="180" w:rightFromText="180" w:vertAnchor="text" w:horzAnchor="page" w:tblpXSpec="center" w:tblpY="183"/>
        <w:tblW w:w="105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932"/>
        <w:gridCol w:w="1053"/>
        <w:gridCol w:w="1418"/>
        <w:gridCol w:w="382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序号</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企业</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名称</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合作模式</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培养目标</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具体运作</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合作成效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揭阳市榕城区仙桥机关幼儿园</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实训基地</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模式</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先学后训</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幼儿园教师</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校企共建“校外实训基地”，开创实习实训就业一体教学模式；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教师采用跟班助教形式接受幼儿园培训，共同开发实训实习实操课程；</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企业协助实习安排、推荐就业。</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学生专业技能强，对口就业高；</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学生不仅熟练掌握幼儿教学业务；</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产教融合、效果明显。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新兴国大幼儿园（二园）</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实训基地</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模式</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先学后训</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幼儿园教师</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校企共建“校外实训基地”，开创实习实训就业一体教学模式；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教师采用跟班助教形式接受幼儿园培训，共同开发实训实习实操课程；</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企业协助实习安排、推荐就业。</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学生专业技能强，对口就业高；</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学生不仅熟练掌握幼儿教学业务；</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产教融合、效果明显。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揭阳市科和电子实业有限公司</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现代学徒制模式</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电子装配员、元件质检员</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企业师傅进驻实训室，既参与学校教学也培训企业员工；</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学校教师接受企业培训，共同开发教学资源；</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校企共同培养学生，学生接受行业认证；</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企业负责实习安排、择优录用。</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学生技能水平高，对口就业率达98%以上；学徒制特征明显。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4</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广东先捷电子股份有限公司</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现代学徒制模式</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电子装配员、元件质检员</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企业师傅进驻实训室，既参与学校教学也培训企业员工；</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学校教师接受企业培训，共同开发教学资源；</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校企共同培养学生，学生接受行业认证；</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企业负责实习安排、择优录用。</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学生技能水平高，对口就业率达98%以上；学徒制特征明显。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5</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揭阳空港经济区晓曦幼儿园</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实训基地</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模式</w:t>
            </w:r>
          </w:p>
          <w:p>
            <w:pPr>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先学后训</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幼儿园教师</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校企共建“校外实训基地”，开创实习实训就业一体教学模式；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教师采用跟班助教形式接受幼儿园培训，共同开发实训实习实操课程；</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企业协助实习安排、推荐就业。</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学生专业技能强，对口就业高；</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学生不仅熟练掌握幼儿教学业务；</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产教融合、效果明显。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6</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格林童话幼儿园</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实训基地</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模式</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先学后训</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幼儿园教师</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校企共建“校外实训基地”，开创实习实训就业一体教学模式；</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教师采用跟班助教形式接受幼儿园培训，共同开发实训实习实操课程；</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企业协助实习安排、推荐就业。</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学生专业技能强，对口就业高；</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学生不仅熟练掌握幼儿教学业务；</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产教融合、效果明显。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7</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揭阳市榕江大酒店有限公司</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现代学徒制模式</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酒店餐饮厨师</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1．校企共建实训室和真实经营场所；</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2．企业提供核心课程资源；</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3．学校教师接受企业培训和认证，共同开发教学资源；</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4．师徒帮带方式，校企共同培养学生，学生接受行业认证；</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5．企业负责实习就业安排。</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1．学生连续多年100%对口就业；</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2．在校企合作评估中名列前茅，胜过同期与榕江大酒店合作的其他职校；</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3．校企深度合作、效果明显。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8</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潮州三环（集团）股份有限公司</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现代学徒制模式</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质检人员</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企业师傅进驻实训室，既参与学校教学也培训企业员工；</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学校教师接受企业培训，共同开发教学资源；</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校企共同培养学生，学生接受行业认证；</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企业负责实习安排、择优录用。</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学生技能水平高，对口就业率达98%以上；学徒制特征明显。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6" w:hRule="atLeast"/>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9</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汕头北国饭店有限公司</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现代学徒制模式</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酒店餐饮厨师</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1.校企共建实训室和真实经营场所；</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2．企业提供核心课程资源；</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3．学校教师接受企业培训和认证，共同开发教学资源；</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4．师徒帮带方式，校企共同培养学生，学生接受行业认证；</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5．企业负责实习就业安排。</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1.学生连续多年100%对口就业；</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2．在校企合作评估中名列前茅；</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3．校企深度合作、效果明显。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57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10</w:t>
            </w:r>
          </w:p>
        </w:tc>
        <w:tc>
          <w:tcPr>
            <w:tcW w:w="932"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textAlignment w:val="auto"/>
              <w:rPr>
                <w:rFonts w:hint="eastAsia" w:ascii="宋体" w:hAnsi="宋体" w:eastAsia="宋体" w:cs="宋体"/>
                <w:sz w:val="18"/>
                <w:szCs w:val="18"/>
              </w:rPr>
            </w:pPr>
            <w:r>
              <w:rPr>
                <w:rFonts w:hint="eastAsia" w:ascii="宋体" w:hAnsi="宋体" w:eastAsia="宋体" w:cs="宋体"/>
                <w:sz w:val="18"/>
                <w:szCs w:val="18"/>
              </w:rPr>
              <w:t>广东金成投资集团</w:t>
            </w:r>
          </w:p>
        </w:tc>
        <w:tc>
          <w:tcPr>
            <w:tcW w:w="105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现代学徒制模式</w:t>
            </w:r>
          </w:p>
        </w:tc>
        <w:tc>
          <w:tcPr>
            <w:tcW w:w="141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酒店餐饮厨师</w:t>
            </w:r>
          </w:p>
        </w:tc>
        <w:tc>
          <w:tcPr>
            <w:tcW w:w="3827"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1.校企共建实训室和真实经营场所；</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2．企业提供核心课程资源；</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3．学校教师接受企业培训和认证，共同开发教学资源；</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4．师徒帮带方式，校企共同培养学生，学生接受行业认证；</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5．企业负责实习就业安排。</w:t>
            </w:r>
          </w:p>
        </w:tc>
        <w:tc>
          <w:tcPr>
            <w:tcW w:w="269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1.学生连续多年100%对口就业；</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2．在校企合作评估中名列前茅；</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18"/>
                <w:szCs w:val="18"/>
              </w:rPr>
            </w:pPr>
            <w:r>
              <w:rPr>
                <w:rFonts w:hint="eastAsia" w:ascii="宋体" w:hAnsi="宋体" w:eastAsia="宋体" w:cs="宋体"/>
                <w:sz w:val="18"/>
                <w:szCs w:val="18"/>
              </w:rPr>
              <w:t>3．校企深度合作、效果明显。</w:t>
            </w:r>
          </w:p>
        </w:tc>
      </w:tr>
    </w:tbl>
    <w:p>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在校企合作管理中，每一个校企合作项目设置相关专业教师，担任校企合作项目负责人，负责管理专班的组建、课程的设置、企业的沟通、见习实习的安排等工作。</w:t>
      </w:r>
    </w:p>
    <w:p>
      <w:pPr>
        <w:pStyle w:val="5"/>
        <w:keepNext w:val="0"/>
        <w:keepLines w:val="0"/>
        <w:pageBreakBefore w:val="0"/>
        <w:widowControl w:val="0"/>
        <w:numPr>
          <w:ilvl w:val="0"/>
          <w:numId w:val="28"/>
        </w:numPr>
        <w:tabs>
          <w:tab w:val="left" w:pos="480"/>
          <w:tab w:val="clear" w:pos="0"/>
        </w:tabs>
        <w:kinsoku/>
        <w:wordWrap/>
        <w:overflowPunct/>
        <w:topLinePunct w:val="0"/>
        <w:autoSpaceDE/>
        <w:autoSpaceDN/>
        <w:bidi w:val="0"/>
        <w:adjustRightInd/>
        <w:snapToGrid/>
        <w:ind w:left="480" w:leftChars="200" w:firstLine="0" w:firstLineChars="0"/>
        <w:textAlignment w:val="auto"/>
        <w:rPr>
          <w:rFonts w:hint="eastAsia" w:ascii="Arial" w:hAnsi="Arial"/>
          <w:lang w:val="en-US" w:eastAsia="zh-CN"/>
        </w:rPr>
      </w:pPr>
      <w:bookmarkStart w:id="35" w:name="_Toc29649"/>
      <w:bookmarkStart w:id="36" w:name="_Toc505003838"/>
      <w:r>
        <w:rPr>
          <w:rFonts w:hint="eastAsia" w:ascii="Arial" w:hAnsi="Arial"/>
          <w:lang w:val="en-US" w:eastAsia="zh-CN"/>
        </w:rPr>
        <w:t>校企合作效果</w:t>
      </w:r>
      <w:bookmarkEnd w:id="35"/>
      <w:bookmarkEnd w:id="36"/>
    </w:p>
    <w:p>
      <w:pPr>
        <w:spacing w:line="360" w:lineRule="auto"/>
        <w:ind w:firstLine="480"/>
        <w:jc w:val="left"/>
      </w:pPr>
      <w:bookmarkStart w:id="37" w:name="_Toc505003839"/>
      <w:bookmarkStart w:id="38" w:name="_Toc29995188"/>
      <w:bookmarkStart w:id="39" w:name="_Toc472001018"/>
      <w:r>
        <w:rPr>
          <w:rFonts w:hint="eastAsia" w:ascii="宋体" w:hAnsi="宋体" w:eastAsia="宋体" w:cs="宋体"/>
          <w:color w:val="000000"/>
          <w:sz w:val="24"/>
        </w:rPr>
        <w:t>学校十分重视校企合作，不断探索校企合作的新模式。</w:t>
      </w:r>
      <w:bookmarkEnd w:id="37"/>
      <w:r>
        <w:rPr>
          <w:rFonts w:hint="eastAsia" w:ascii="宋体" w:hAnsi="宋体" w:eastAsia="宋体" w:cs="宋体"/>
          <w:color w:val="000000"/>
          <w:sz w:val="24"/>
        </w:rPr>
        <w:t>目前已经逐步从一开始的输送实习生到企业开展顶岗实习，转变为今年通过外引内联引进企业开展目标明确人才培养定制化合作，即根据企业的岗位需求和技能要求，制定相应的培训课程，逐步获得实质性的转变。由于目前各种客观条件的制约，只有5个专业得以实现“引产入校”，但是随着“引产入校”模式的成熟，我们将能够向更多的专业推广。</w:t>
      </w:r>
      <w:bookmarkEnd w:id="38"/>
      <w:r>
        <w:rPr>
          <w:rFonts w:hint="eastAsia"/>
        </w:rPr>
        <w:drawing>
          <wp:inline distT="0" distB="0" distL="114300" distR="114300">
            <wp:extent cx="5365750" cy="3291205"/>
            <wp:effectExtent l="0" t="0" r="6350" b="4445"/>
            <wp:docPr id="13" name="图片 19" descr="微信图片_2019011710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微信图片_20190117102623"/>
                    <pic:cNvPicPr>
                      <a:picLocks noChangeAspect="1"/>
                    </pic:cNvPicPr>
                  </pic:nvPicPr>
                  <pic:blipFill>
                    <a:blip r:embed="rId66"/>
                    <a:stretch>
                      <a:fillRect/>
                    </a:stretch>
                  </pic:blipFill>
                  <pic:spPr>
                    <a:xfrm>
                      <a:off x="0" y="0"/>
                      <a:ext cx="5365750" cy="3291205"/>
                    </a:xfrm>
                    <a:prstGeom prst="rect">
                      <a:avLst/>
                    </a:prstGeom>
                    <a:noFill/>
                    <a:ln>
                      <a:noFill/>
                    </a:ln>
                  </pic:spPr>
                </pic:pic>
              </a:graphicData>
            </a:graphic>
          </wp:inline>
        </w:drawing>
      </w:r>
    </w:p>
    <w:p>
      <w:pPr>
        <w:spacing w:line="360" w:lineRule="auto"/>
        <w:ind w:left="0" w:leftChars="0"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图片</w:t>
      </w:r>
      <w:r>
        <w:rPr>
          <w:rFonts w:hint="eastAsia" w:ascii="宋体" w:hAnsi="宋体" w:eastAsia="宋体" w:cs="宋体"/>
          <w:color w:val="000000"/>
          <w:sz w:val="24"/>
          <w:lang w:val="en-US" w:eastAsia="zh-CN"/>
        </w:rPr>
        <w:t>3</w:t>
      </w:r>
      <w:r>
        <w:rPr>
          <w:rFonts w:hint="eastAsia" w:ascii="宋体" w:hAnsi="宋体" w:eastAsia="宋体" w:cs="宋体"/>
          <w:color w:val="000000"/>
          <w:sz w:val="24"/>
        </w:rPr>
        <w:t>.</w:t>
      </w:r>
      <w:r>
        <w:rPr>
          <w:rFonts w:hint="eastAsia" w:ascii="宋体" w:hAnsi="宋体" w:eastAsia="宋体" w:cs="宋体"/>
          <w:color w:val="000000"/>
          <w:sz w:val="24"/>
          <w:lang w:val="en-US" w:eastAsia="zh-CN"/>
        </w:rPr>
        <w:t>2</w:t>
      </w:r>
      <w:r>
        <w:rPr>
          <w:rFonts w:hint="eastAsia" w:ascii="宋体" w:hAnsi="宋体" w:eastAsia="宋体" w:cs="宋体"/>
          <w:color w:val="000000"/>
          <w:sz w:val="24"/>
        </w:rPr>
        <w:t>引产入校项目总结大会1</w:t>
      </w:r>
    </w:p>
    <w:p>
      <w:pPr>
        <w:spacing w:line="360" w:lineRule="auto"/>
        <w:ind w:left="0" w:leftChars="0" w:firstLine="0" w:firstLineChars="0"/>
        <w:jc w:val="center"/>
        <w:rPr>
          <w:rFonts w:hint="eastAsia" w:ascii="宋体" w:hAnsi="宋体" w:eastAsia="宋体" w:cs="宋体"/>
          <w:color w:val="000000"/>
          <w:sz w:val="24"/>
        </w:rPr>
      </w:pPr>
    </w:p>
    <w:p>
      <w:pPr>
        <w:spacing w:line="360" w:lineRule="auto"/>
        <w:ind w:left="0" w:leftChars="0" w:firstLine="0" w:firstLineChars="0"/>
        <w:jc w:val="center"/>
        <w:rPr>
          <w:rFonts w:hint="eastAsia" w:ascii="宋体" w:hAnsi="宋体" w:eastAsia="宋体" w:cs="宋体"/>
          <w:color w:val="000000"/>
          <w:sz w:val="24"/>
        </w:rPr>
      </w:pPr>
    </w:p>
    <w:p>
      <w:pPr>
        <w:spacing w:line="360" w:lineRule="auto"/>
        <w:ind w:left="0" w:leftChars="0" w:firstLine="0" w:firstLineChars="0"/>
        <w:jc w:val="center"/>
        <w:rPr>
          <w:rFonts w:hint="eastAsia" w:ascii="宋体" w:hAnsi="宋体" w:eastAsia="宋体" w:cs="宋体"/>
          <w:color w:val="000000"/>
          <w:sz w:val="24"/>
          <w:lang w:eastAsia="zh-CN"/>
        </w:rPr>
      </w:pPr>
    </w:p>
    <w:p>
      <w:pPr>
        <w:ind w:left="0" w:leftChars="0" w:firstLine="0" w:firstLineChars="0"/>
        <w:jc w:val="both"/>
      </w:pPr>
      <w:r>
        <w:rPr>
          <w:rFonts w:hint="eastAsia"/>
        </w:rPr>
        <w:drawing>
          <wp:inline distT="0" distB="0" distL="114300" distR="114300">
            <wp:extent cx="5289550" cy="3119120"/>
            <wp:effectExtent l="0" t="0" r="6350" b="5080"/>
            <wp:docPr id="17" name="图片 20" descr="微信图片_201901171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微信图片_20190117102756"/>
                    <pic:cNvPicPr>
                      <a:picLocks noChangeAspect="1"/>
                    </pic:cNvPicPr>
                  </pic:nvPicPr>
                  <pic:blipFill>
                    <a:blip r:embed="rId67"/>
                    <a:stretch>
                      <a:fillRect/>
                    </a:stretch>
                  </pic:blipFill>
                  <pic:spPr>
                    <a:xfrm>
                      <a:off x="0" y="0"/>
                      <a:ext cx="5289550" cy="3119120"/>
                    </a:xfrm>
                    <a:prstGeom prst="rect">
                      <a:avLst/>
                    </a:prstGeom>
                    <a:noFill/>
                    <a:ln>
                      <a:noFill/>
                    </a:ln>
                  </pic:spPr>
                </pic:pic>
              </a:graphicData>
            </a:graphic>
          </wp:inline>
        </w:drawing>
      </w:r>
    </w:p>
    <w:p>
      <w:pPr>
        <w:spacing w:line="360" w:lineRule="auto"/>
        <w:ind w:left="0" w:leftChars="0"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图片</w:t>
      </w:r>
      <w:r>
        <w:rPr>
          <w:rFonts w:hint="eastAsia" w:ascii="宋体" w:hAnsi="宋体" w:eastAsia="宋体" w:cs="宋体"/>
          <w:color w:val="000000"/>
          <w:sz w:val="24"/>
          <w:lang w:val="en-US" w:eastAsia="zh-CN"/>
        </w:rPr>
        <w:t>3.3</w:t>
      </w:r>
      <w:r>
        <w:rPr>
          <w:rFonts w:hint="eastAsia" w:ascii="宋体" w:hAnsi="宋体" w:eastAsia="宋体" w:cs="宋体"/>
          <w:color w:val="000000"/>
          <w:sz w:val="24"/>
        </w:rPr>
        <w:t>引产入校项目总结大会2</w:t>
      </w:r>
    </w:p>
    <w:p>
      <w:pPr>
        <w:ind w:left="0" w:leftChars="0" w:firstLine="0" w:firstLineChars="0"/>
        <w:jc w:val="both"/>
      </w:pPr>
      <w:r>
        <w:rPr>
          <w:rFonts w:hint="eastAsia"/>
        </w:rPr>
        <w:drawing>
          <wp:inline distT="0" distB="0" distL="114300" distR="114300">
            <wp:extent cx="5328920" cy="3967480"/>
            <wp:effectExtent l="0" t="0" r="5080" b="13970"/>
            <wp:docPr id="18" name="图片 21" descr="微信图片_201901171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微信图片_20190117102911"/>
                    <pic:cNvPicPr>
                      <a:picLocks noChangeAspect="1"/>
                    </pic:cNvPicPr>
                  </pic:nvPicPr>
                  <pic:blipFill>
                    <a:blip r:embed="rId68"/>
                    <a:stretch>
                      <a:fillRect/>
                    </a:stretch>
                  </pic:blipFill>
                  <pic:spPr>
                    <a:xfrm>
                      <a:off x="0" y="0"/>
                      <a:ext cx="5328920" cy="3967480"/>
                    </a:xfrm>
                    <a:prstGeom prst="rect">
                      <a:avLst/>
                    </a:prstGeom>
                    <a:noFill/>
                    <a:ln>
                      <a:noFill/>
                    </a:ln>
                  </pic:spPr>
                </pic:pic>
              </a:graphicData>
            </a:graphic>
          </wp:inline>
        </w:drawing>
      </w:r>
    </w:p>
    <w:p>
      <w:pPr>
        <w:spacing w:line="360" w:lineRule="auto"/>
        <w:ind w:left="0" w:leftChars="0"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图片</w:t>
      </w:r>
      <w:r>
        <w:rPr>
          <w:rFonts w:hint="eastAsia" w:ascii="宋体" w:hAnsi="宋体" w:eastAsia="宋体" w:cs="宋体"/>
          <w:color w:val="000000"/>
          <w:sz w:val="24"/>
          <w:lang w:val="en-US" w:eastAsia="zh-CN"/>
        </w:rPr>
        <w:t>3.4</w:t>
      </w:r>
      <w:r>
        <w:rPr>
          <w:rFonts w:hint="eastAsia" w:ascii="宋体" w:hAnsi="宋体" w:eastAsia="宋体" w:cs="宋体"/>
          <w:color w:val="000000"/>
          <w:sz w:val="24"/>
        </w:rPr>
        <w:t>学校带领学生到巨轮股份有限公司开展实习活动1</w:t>
      </w:r>
    </w:p>
    <w:p>
      <w:pPr>
        <w:ind w:left="0" w:leftChars="0" w:firstLine="0" w:firstLineChars="0"/>
        <w:jc w:val="both"/>
      </w:pPr>
      <w:r>
        <w:rPr>
          <w:rFonts w:hint="eastAsia"/>
        </w:rPr>
        <w:drawing>
          <wp:inline distT="0" distB="0" distL="114300" distR="114300">
            <wp:extent cx="5362575" cy="3580130"/>
            <wp:effectExtent l="0" t="0" r="9525" b="1270"/>
            <wp:docPr id="25" name="图片 22" descr="微信图片_2019011710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微信图片_20190117103014"/>
                    <pic:cNvPicPr>
                      <a:picLocks noChangeAspect="1"/>
                    </pic:cNvPicPr>
                  </pic:nvPicPr>
                  <pic:blipFill>
                    <a:blip r:embed="rId69"/>
                    <a:stretch>
                      <a:fillRect/>
                    </a:stretch>
                  </pic:blipFill>
                  <pic:spPr>
                    <a:xfrm>
                      <a:off x="0" y="0"/>
                      <a:ext cx="5362575" cy="3580130"/>
                    </a:xfrm>
                    <a:prstGeom prst="rect">
                      <a:avLst/>
                    </a:prstGeom>
                    <a:noFill/>
                    <a:ln>
                      <a:noFill/>
                    </a:ln>
                  </pic:spPr>
                </pic:pic>
              </a:graphicData>
            </a:graphic>
          </wp:inline>
        </w:drawing>
      </w:r>
    </w:p>
    <w:p>
      <w:pPr>
        <w:spacing w:line="360" w:lineRule="auto"/>
        <w:ind w:left="0" w:leftChars="0" w:firstLine="0" w:firstLineChars="0"/>
        <w:jc w:val="center"/>
        <w:rPr>
          <w:rFonts w:hint="eastAsia" w:ascii="宋体" w:hAnsi="宋体" w:eastAsia="宋体" w:cs="宋体"/>
          <w:color w:val="000000"/>
          <w:sz w:val="24"/>
        </w:rPr>
      </w:pPr>
      <w:r>
        <w:rPr>
          <w:rFonts w:hint="eastAsia" w:ascii="宋体" w:hAnsi="宋体" w:eastAsia="宋体" w:cs="宋体"/>
          <w:color w:val="000000"/>
          <w:sz w:val="24"/>
        </w:rPr>
        <w:t>图片</w:t>
      </w:r>
      <w:r>
        <w:rPr>
          <w:rFonts w:hint="eastAsia" w:ascii="宋体" w:hAnsi="宋体" w:eastAsia="宋体" w:cs="宋体"/>
          <w:color w:val="000000"/>
          <w:sz w:val="24"/>
          <w:lang w:val="en-US" w:eastAsia="zh-CN"/>
        </w:rPr>
        <w:t>3.5</w:t>
      </w:r>
      <w:r>
        <w:rPr>
          <w:rFonts w:hint="eastAsia" w:ascii="宋体" w:hAnsi="宋体" w:eastAsia="宋体" w:cs="宋体"/>
          <w:color w:val="000000"/>
          <w:sz w:val="24"/>
        </w:rPr>
        <w:t>学校带领学生到巨轮股份有限公司开展实习活动2</w:t>
      </w:r>
    </w:p>
    <w:p>
      <w:pPr>
        <w:jc w:val="center"/>
      </w:pPr>
    </w:p>
    <w:p>
      <w:pPr>
        <w:jc w:val="center"/>
      </w:pPr>
    </w:p>
    <w:p>
      <w:pPr>
        <w:ind w:left="0" w:leftChars="0" w:firstLine="0" w:firstLineChars="0"/>
        <w:jc w:val="center"/>
        <w:rPr>
          <w:rFonts w:hint="eastAsia" w:ascii="宋体" w:hAnsi="宋体" w:eastAsia="宋体" w:cs="宋体"/>
          <w:color w:val="000000"/>
          <w:sz w:val="24"/>
        </w:rPr>
      </w:pPr>
      <w:r>
        <w:rPr>
          <w:rFonts w:hint="eastAsia"/>
        </w:rPr>
        <w:drawing>
          <wp:inline distT="0" distB="0" distL="114300" distR="114300">
            <wp:extent cx="5203825" cy="3473450"/>
            <wp:effectExtent l="0" t="0" r="15875" b="12700"/>
            <wp:docPr id="26" name="图片 23" descr="微信图片_2019011710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微信图片_20190117103151"/>
                    <pic:cNvPicPr>
                      <a:picLocks noChangeAspect="1"/>
                    </pic:cNvPicPr>
                  </pic:nvPicPr>
                  <pic:blipFill>
                    <a:blip r:embed="rId70"/>
                    <a:stretch>
                      <a:fillRect/>
                    </a:stretch>
                  </pic:blipFill>
                  <pic:spPr>
                    <a:xfrm>
                      <a:off x="0" y="0"/>
                      <a:ext cx="5203825" cy="3473450"/>
                    </a:xfrm>
                    <a:prstGeom prst="rect">
                      <a:avLst/>
                    </a:prstGeom>
                    <a:noFill/>
                    <a:ln>
                      <a:noFill/>
                    </a:ln>
                  </pic:spPr>
                </pic:pic>
              </a:graphicData>
            </a:graphic>
          </wp:inline>
        </w:drawing>
      </w:r>
      <w:r>
        <w:rPr>
          <w:rFonts w:hint="eastAsia" w:ascii="宋体" w:hAnsi="宋体" w:eastAsia="宋体" w:cs="宋体"/>
          <w:color w:val="000000"/>
          <w:sz w:val="24"/>
        </w:rPr>
        <w:t>图片</w:t>
      </w:r>
      <w:r>
        <w:rPr>
          <w:rFonts w:hint="eastAsia" w:ascii="宋体" w:hAnsi="宋体" w:eastAsia="宋体" w:cs="宋体"/>
          <w:color w:val="000000"/>
          <w:sz w:val="24"/>
          <w:lang w:val="en-US" w:eastAsia="zh-CN"/>
        </w:rPr>
        <w:t>3.6</w:t>
      </w:r>
      <w:r>
        <w:rPr>
          <w:rFonts w:hint="eastAsia" w:ascii="宋体" w:hAnsi="宋体" w:eastAsia="宋体" w:cs="宋体"/>
          <w:color w:val="000000"/>
          <w:sz w:val="24"/>
        </w:rPr>
        <w:t>学校带领学生到巨轮股份有限公司开展实习活动3</w:t>
      </w:r>
    </w:p>
    <w:p>
      <w:pPr>
        <w:pStyle w:val="5"/>
        <w:keepNext w:val="0"/>
        <w:keepLines w:val="0"/>
        <w:pageBreakBefore w:val="0"/>
        <w:widowControl w:val="0"/>
        <w:numPr>
          <w:ilvl w:val="0"/>
          <w:numId w:val="28"/>
        </w:numPr>
        <w:kinsoku/>
        <w:wordWrap/>
        <w:overflowPunct/>
        <w:topLinePunct w:val="0"/>
        <w:autoSpaceDE/>
        <w:autoSpaceDN/>
        <w:bidi w:val="0"/>
        <w:adjustRightInd/>
        <w:snapToGrid/>
        <w:ind w:left="0" w:firstLine="480" w:firstLineChars="200"/>
        <w:textAlignment w:val="auto"/>
        <w:rPr>
          <w:rFonts w:hint="eastAsia" w:ascii="Arial" w:hAnsi="Arial"/>
          <w:lang w:val="en-US" w:eastAsia="zh-CN"/>
        </w:rPr>
      </w:pPr>
      <w:bookmarkStart w:id="40" w:name="_Toc505003840"/>
      <w:bookmarkStart w:id="41" w:name="_Toc20583"/>
      <w:bookmarkStart w:id="42" w:name="_Toc29995189"/>
      <w:r>
        <w:rPr>
          <w:rFonts w:hint="eastAsia" w:ascii="Arial" w:hAnsi="Arial"/>
          <w:lang w:val="en-US" w:eastAsia="zh-CN"/>
        </w:rPr>
        <w:t>毕业生实现高水平就业</w:t>
      </w:r>
      <w:bookmarkEnd w:id="39"/>
      <w:bookmarkEnd w:id="40"/>
      <w:bookmarkEnd w:id="41"/>
      <w:bookmarkEnd w:id="42"/>
    </w:p>
    <w:p>
      <w:pPr>
        <w:spacing w:line="360" w:lineRule="auto"/>
        <w:ind w:firstLine="480" w:firstLineChars="200"/>
        <w:rPr>
          <w:rFonts w:hint="eastAsia" w:ascii="宋体" w:hAnsi="宋体" w:eastAsia="宋体" w:cs="宋体"/>
          <w:color w:val="000000"/>
          <w:sz w:val="24"/>
        </w:rPr>
      </w:pPr>
      <w:bookmarkStart w:id="43" w:name="_Toc472001019"/>
      <w:bookmarkStart w:id="44" w:name="_Toc29995190"/>
      <w:bookmarkStart w:id="45" w:name="_Toc505003841"/>
      <w:r>
        <w:rPr>
          <w:rFonts w:hint="eastAsia" w:ascii="宋体" w:hAnsi="宋体" w:eastAsia="宋体" w:cs="宋体"/>
          <w:color w:val="000000"/>
          <w:sz w:val="24"/>
          <w:lang w:val="en-US" w:eastAsia="zh-CN"/>
        </w:rPr>
        <w:t>在“引产入校”的推动下，学校通过和企业的合作，包括了课程合作、实习项目合作逐渐走出特色，培养的学生不仅拥有符合企业社会要求的专业知识，更练就了良好的职业素养，践行企业规范操守，深受用人单位欢迎，就业率达98%。在开展“引产入校”后，学生的学习目标更加明确、学习动力更强，更能亲身体验到在企业和社会工作的不容易，能更加珍惜在学校的学习。因防疫工作需要，在学校与地方人力资源局举办的网络视频招聘会上，学校的学前教育、中餐烹饪与营养膳食、汽修运用与维修等专业的毕业生更是被企业预订一空，实现了高平台就业。随着学校学生专业技能水平不断提升，大批德技双馨的毕业生不断走向社会，成长为企业的中坚力量，为揭阳经济的发展提供了源源不断的人力资源。</w:t>
      </w:r>
    </w:p>
    <w:p>
      <w:pPr>
        <w:pStyle w:val="5"/>
        <w:keepNext w:val="0"/>
        <w:keepLines w:val="0"/>
        <w:pageBreakBefore w:val="0"/>
        <w:widowControl w:val="0"/>
        <w:numPr>
          <w:ilvl w:val="0"/>
          <w:numId w:val="28"/>
        </w:numPr>
        <w:kinsoku/>
        <w:wordWrap/>
        <w:overflowPunct/>
        <w:topLinePunct w:val="0"/>
        <w:autoSpaceDE/>
        <w:autoSpaceDN/>
        <w:bidi w:val="0"/>
        <w:adjustRightInd/>
        <w:snapToGrid/>
        <w:ind w:left="0" w:firstLine="480" w:firstLineChars="200"/>
        <w:textAlignment w:val="auto"/>
        <w:rPr>
          <w:rFonts w:hint="eastAsia" w:ascii="Arial" w:hAnsi="Arial"/>
          <w:lang w:val="en-US" w:eastAsia="zh-CN"/>
        </w:rPr>
      </w:pPr>
      <w:bookmarkStart w:id="46" w:name="_Toc28000"/>
      <w:r>
        <w:rPr>
          <w:rFonts w:hint="eastAsia" w:ascii="Arial" w:hAnsi="Arial"/>
          <w:lang w:val="en-US" w:eastAsia="zh-CN"/>
        </w:rPr>
        <w:t>校企合作深度融合</w:t>
      </w:r>
      <w:bookmarkEnd w:id="43"/>
      <w:bookmarkEnd w:id="44"/>
      <w:bookmarkEnd w:id="45"/>
      <w:bookmarkEnd w:id="46"/>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学校目前已经逐步从一开始的输送实习生到企业开展顶岗实习，转变为今年通过外引内联引进企业开展目标明确人才培养定制化合作，即根据企业的岗位需求和技能要求，制定相应的培训课程，逐步争取获得实质性的转变。学校以机电专业、中餐烹饪与营养膳食专业以及学前教育专业为核心，有效整合校行企资源。通过把企业请进学校，把企业的培训项目引进课堂，根据企业项目的要求，和企业共同制定课程以及实训规划。在完成一定的培训之后，学生直接到企业相应的企业进行实习。实习期的成绩就作为学生是否能够被企业正式录取的标准。目前，学校与广东巨轮股份有限公司、广东先捷电子股份有限公司、潮州三环（集团）股份有限公司、揭阳市科和电子实业有限公司等企业就是在开展这样的合作，这在揭阳市乃至粤东都是属于先行者。这是学校校企合作工作逐步向纵深发展、深度融合的体现。</w:t>
      </w:r>
    </w:p>
    <w:p>
      <w:pPr>
        <w:pStyle w:val="4"/>
        <w:bidi w:val="0"/>
        <w:ind w:left="425" w:leftChars="0" w:firstLine="53" w:firstLineChars="19"/>
        <w:rPr>
          <w:rFonts w:hint="eastAsia"/>
        </w:rPr>
      </w:pPr>
      <w:r>
        <w:rPr>
          <w:rFonts w:hint="eastAsia"/>
        </w:rPr>
        <w:t>开展“1+x”证书制度试点情况</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为贯彻习近平总书记关于职业教育的重要指示和全国职业教育大会精神，落实《国家职业教育改革实施方案》《职业教育提质培优行动计划（2020-2023年）》《广东省职业教育“扩容、提质、强服务”三年行动计划（2019-2021年）》等文件精神。做好落实高职扩招任务、促进产教融合校企双元育人、开展“1+X”证书制度试点、开展高质量职业培训、打造“双师型”教师队伍等工作。学校于2020年申报了中餐烹饪专业“1+X”证书制度试点，为了顺利推动该试点工作的开展，学校加大力投入，加强了与开展相关认证的企业合作力度、积极打造“双师型”教师队伍。同时通过对“粤菜师傅培训基地”以及学校实训基地的建设，为试点工作的顺利开展打好了良好的基础。</w:t>
      </w:r>
    </w:p>
    <w:p>
      <w:pPr>
        <w:pStyle w:val="5"/>
        <w:keepNext w:val="0"/>
        <w:keepLines w:val="0"/>
        <w:pageBreakBefore w:val="0"/>
        <w:widowControl w:val="0"/>
        <w:numPr>
          <w:ilvl w:val="0"/>
          <w:numId w:val="29"/>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打造“双师型”师资队伍，做好试点考评员准备工作</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学校强化试点专业高水平师资团队建设，组建由学校教师、企业管理者、技术专家、业务骨干等组成的“讲师团”。学校对专任教师实施分层分类的下企业实践，企业人力资源部制定企业教师的管理、考核制度，切实保障企业师傅对人才共育的教学参与，申报广东省在线精品课程项目教科研工作，推荐专业老师考取考评员资格证书。</w:t>
      </w:r>
    </w:p>
    <w:p>
      <w:pPr>
        <w:spacing w:line="360" w:lineRule="auto"/>
        <w:ind w:firstLine="480" w:firstLineChars="200"/>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餐饮类1+X证书师资考评员培训报名回执汇总表</w:t>
      </w:r>
    </w:p>
    <w:tbl>
      <w:tblPr>
        <w:tblStyle w:val="17"/>
        <w:tblW w:w="8984" w:type="dxa"/>
        <w:tblInd w:w="-3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486"/>
        <w:gridCol w:w="864"/>
        <w:gridCol w:w="398"/>
        <w:gridCol w:w="673"/>
        <w:gridCol w:w="1811"/>
        <w:gridCol w:w="1933"/>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sz w:val="18"/>
                <w:szCs w:val="18"/>
              </w:rPr>
            </w:pPr>
            <w:r>
              <w:rPr>
                <w:rFonts w:hint="eastAsia" w:ascii="宋体" w:hAnsi="宋体" w:eastAsia="宋体" w:cs="宋体"/>
                <w:b/>
                <w:sz w:val="18"/>
                <w:szCs w:val="18"/>
              </w:rPr>
              <w:t>序号</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sz w:val="18"/>
                <w:szCs w:val="18"/>
              </w:rPr>
            </w:pPr>
            <w:r>
              <w:rPr>
                <w:rFonts w:hint="eastAsia" w:ascii="宋体" w:hAnsi="宋体" w:eastAsia="宋体" w:cs="宋体"/>
                <w:b/>
                <w:sz w:val="18"/>
                <w:szCs w:val="18"/>
              </w:rPr>
              <w:t>所报证书培训班名称</w:t>
            </w:r>
          </w:p>
        </w:tc>
        <w:tc>
          <w:tcPr>
            <w:tcW w:w="86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sz w:val="18"/>
                <w:szCs w:val="18"/>
              </w:rPr>
            </w:pPr>
            <w:r>
              <w:rPr>
                <w:rFonts w:hint="eastAsia" w:ascii="宋体" w:hAnsi="宋体" w:eastAsia="宋体" w:cs="宋体"/>
                <w:b/>
                <w:sz w:val="18"/>
                <w:szCs w:val="18"/>
              </w:rPr>
              <w:t>姓 名</w:t>
            </w:r>
          </w:p>
        </w:tc>
        <w:tc>
          <w:tcPr>
            <w:tcW w:w="3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sz w:val="18"/>
                <w:szCs w:val="18"/>
              </w:rPr>
            </w:pPr>
            <w:r>
              <w:rPr>
                <w:rFonts w:hint="eastAsia" w:ascii="宋体" w:hAnsi="宋体" w:eastAsia="宋体" w:cs="宋体"/>
                <w:b/>
                <w:sz w:val="18"/>
                <w:szCs w:val="18"/>
              </w:rPr>
              <w:t>性别</w:t>
            </w:r>
          </w:p>
        </w:tc>
        <w:tc>
          <w:tcPr>
            <w:tcW w:w="67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sz w:val="18"/>
                <w:szCs w:val="18"/>
              </w:rPr>
            </w:pPr>
            <w:r>
              <w:rPr>
                <w:rFonts w:hint="eastAsia" w:ascii="宋体" w:hAnsi="宋体" w:eastAsia="宋体" w:cs="宋体"/>
                <w:b/>
                <w:sz w:val="18"/>
                <w:szCs w:val="18"/>
              </w:rPr>
              <w:t>职务</w:t>
            </w:r>
          </w:p>
        </w:tc>
        <w:tc>
          <w:tcPr>
            <w:tcW w:w="181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sz w:val="18"/>
                <w:szCs w:val="18"/>
              </w:rPr>
            </w:pPr>
            <w:r>
              <w:rPr>
                <w:rFonts w:hint="eastAsia" w:ascii="宋体" w:hAnsi="宋体" w:eastAsia="宋体" w:cs="宋体"/>
                <w:b/>
                <w:sz w:val="18"/>
                <w:szCs w:val="18"/>
              </w:rPr>
              <w:t>邮箱</w:t>
            </w:r>
          </w:p>
        </w:tc>
        <w:tc>
          <w:tcPr>
            <w:tcW w:w="193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sz w:val="18"/>
                <w:szCs w:val="18"/>
              </w:rPr>
            </w:pPr>
            <w:r>
              <w:rPr>
                <w:rFonts w:hint="eastAsia" w:ascii="宋体" w:hAnsi="宋体" w:eastAsia="宋体" w:cs="宋体"/>
                <w:b/>
                <w:sz w:val="18"/>
                <w:szCs w:val="18"/>
              </w:rPr>
              <w:t>身份证号</w:t>
            </w:r>
          </w:p>
        </w:tc>
        <w:tc>
          <w:tcPr>
            <w:tcW w:w="13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sz w:val="18"/>
                <w:szCs w:val="18"/>
              </w:rPr>
            </w:pPr>
            <w:r>
              <w:rPr>
                <w:rFonts w:hint="eastAsia" w:ascii="宋体" w:hAnsi="宋体" w:eastAsia="宋体" w:cs="宋体"/>
                <w:b/>
                <w:sz w:val="18"/>
                <w:szCs w:val="18"/>
              </w:rPr>
              <w:t>手  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51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粤菜制作</w:t>
            </w:r>
          </w:p>
        </w:tc>
        <w:tc>
          <w:tcPr>
            <w:tcW w:w="86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郑国彬</w:t>
            </w:r>
          </w:p>
        </w:tc>
        <w:tc>
          <w:tcPr>
            <w:tcW w:w="3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男</w:t>
            </w:r>
          </w:p>
        </w:tc>
        <w:tc>
          <w:tcPr>
            <w:tcW w:w="67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烹饪教师</w:t>
            </w:r>
          </w:p>
        </w:tc>
        <w:tc>
          <w:tcPr>
            <w:tcW w:w="181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364093639@qq.com</w:t>
            </w:r>
          </w:p>
        </w:tc>
        <w:tc>
          <w:tcPr>
            <w:tcW w:w="193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440508199206163333</w:t>
            </w:r>
          </w:p>
        </w:tc>
        <w:tc>
          <w:tcPr>
            <w:tcW w:w="13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18318435574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粤菜制作</w:t>
            </w:r>
          </w:p>
        </w:tc>
        <w:tc>
          <w:tcPr>
            <w:tcW w:w="86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郑文焕</w:t>
            </w:r>
          </w:p>
        </w:tc>
        <w:tc>
          <w:tcPr>
            <w:tcW w:w="3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男</w:t>
            </w:r>
          </w:p>
        </w:tc>
        <w:tc>
          <w:tcPr>
            <w:tcW w:w="67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烹饪教师</w:t>
            </w:r>
          </w:p>
        </w:tc>
        <w:tc>
          <w:tcPr>
            <w:tcW w:w="181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3035049262@qq.com</w:t>
            </w:r>
          </w:p>
        </w:tc>
        <w:tc>
          <w:tcPr>
            <w:tcW w:w="193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440583199112223112</w:t>
            </w:r>
          </w:p>
        </w:tc>
        <w:tc>
          <w:tcPr>
            <w:tcW w:w="13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13822083574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粤菜制作</w:t>
            </w:r>
          </w:p>
        </w:tc>
        <w:tc>
          <w:tcPr>
            <w:tcW w:w="86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黄伟楠</w:t>
            </w:r>
          </w:p>
        </w:tc>
        <w:tc>
          <w:tcPr>
            <w:tcW w:w="3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男</w:t>
            </w:r>
          </w:p>
        </w:tc>
        <w:tc>
          <w:tcPr>
            <w:tcW w:w="67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教师</w:t>
            </w:r>
          </w:p>
        </w:tc>
        <w:tc>
          <w:tcPr>
            <w:tcW w:w="181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1908063878@qq.com</w:t>
            </w:r>
          </w:p>
        </w:tc>
        <w:tc>
          <w:tcPr>
            <w:tcW w:w="193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445202199707212797</w:t>
            </w:r>
          </w:p>
        </w:tc>
        <w:tc>
          <w:tcPr>
            <w:tcW w:w="13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18934166480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4</w:t>
            </w:r>
          </w:p>
        </w:tc>
        <w:tc>
          <w:tcPr>
            <w:tcW w:w="1486"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粤点制作中级师资培训</w:t>
            </w:r>
          </w:p>
        </w:tc>
        <w:tc>
          <w:tcPr>
            <w:tcW w:w="864"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潘润</w:t>
            </w:r>
          </w:p>
        </w:tc>
        <w:tc>
          <w:tcPr>
            <w:tcW w:w="398"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女</w:t>
            </w:r>
          </w:p>
        </w:tc>
        <w:tc>
          <w:tcPr>
            <w:tcW w:w="67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烹饪教师</w:t>
            </w:r>
          </w:p>
        </w:tc>
        <w:tc>
          <w:tcPr>
            <w:tcW w:w="1811"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15752211563@qq.com</w:t>
            </w:r>
          </w:p>
        </w:tc>
        <w:tc>
          <w:tcPr>
            <w:tcW w:w="1933"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445221199410067225</w:t>
            </w:r>
          </w:p>
        </w:tc>
        <w:tc>
          <w:tcPr>
            <w:tcW w:w="130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18"/>
                <w:szCs w:val="18"/>
              </w:rPr>
            </w:pPr>
            <w:r>
              <w:rPr>
                <w:rFonts w:hint="eastAsia" w:ascii="宋体" w:hAnsi="宋体" w:eastAsia="宋体" w:cs="宋体"/>
                <w:sz w:val="18"/>
                <w:szCs w:val="18"/>
              </w:rPr>
              <w:t>13922673753</w:t>
            </w:r>
          </w:p>
        </w:tc>
      </w:tr>
    </w:tbl>
    <w:p>
      <w:pPr>
        <w:rPr>
          <w:sz w:val="24"/>
        </w:rPr>
      </w:pPr>
    </w:p>
    <w:p>
      <w:pPr>
        <w:pStyle w:val="5"/>
        <w:keepNext w:val="0"/>
        <w:keepLines w:val="0"/>
        <w:pageBreakBefore w:val="0"/>
        <w:widowControl w:val="0"/>
        <w:numPr>
          <w:ilvl w:val="0"/>
          <w:numId w:val="29"/>
        </w:numPr>
        <w:kinsoku/>
        <w:wordWrap/>
        <w:overflowPunct/>
        <w:topLinePunct w:val="0"/>
        <w:autoSpaceDE/>
        <w:autoSpaceDN/>
        <w:bidi w:val="0"/>
        <w:adjustRightInd/>
        <w:snapToGrid/>
        <w:ind w:left="0" w:firstLine="480" w:firstLineChars="200"/>
        <w:textAlignment w:val="auto"/>
        <w:rPr>
          <w:rFonts w:hint="default" w:ascii="Arial" w:hAnsi="Arial"/>
          <w:lang w:val="en-US" w:eastAsia="zh-CN"/>
        </w:rPr>
      </w:pPr>
      <w:r>
        <w:rPr>
          <w:rFonts w:hint="eastAsia" w:ascii="Arial" w:hAnsi="Arial"/>
          <w:lang w:val="en-US" w:eastAsia="zh-CN"/>
        </w:rPr>
        <w:t xml:space="preserve">强化专业建设、力求打造基础扎实的“1+x”工作试点                                                     </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通过对“粤菜师傅培训基地”的建设，极大地提高了中餐烹饪专业在地方的影响力和辐射作用。学校通过“双带”培训，提升了中餐烹饪在地方的影响力，同时通过与地方企业开展培训合作，加强了同行业企业的校企合作，强化了专业建设，同时也壮大了师资队伍。同时学校依托“潮菜大师工作室”开展潮菜和潮汕文化相关研究工作，更是进一步推动了学校专业建设，目前计划将揭阳本地饮食文化的发展历史和特点整理汇编成《揭阳饮食文化》一书，而且还正在编写《潮菜烹调工艺》一书，该书将作为中餐烹饪专业的核心课程教材使用。年近年来学校学生教师在餐饮类的各级竞赛中也获得丰厚的回报。</w:t>
      </w:r>
    </w:p>
    <w:p>
      <w:pPr>
        <w:spacing w:line="360" w:lineRule="auto"/>
        <w:ind w:firstLine="540" w:firstLineChars="225"/>
        <w:jc w:val="center"/>
        <w:rPr>
          <w:rFonts w:hint="default" w:eastAsiaTheme="minorEastAsia"/>
          <w:sz w:val="24"/>
          <w:lang w:val="en-US" w:eastAsia="zh-CN"/>
        </w:rPr>
      </w:pPr>
      <w:r>
        <w:drawing>
          <wp:anchor distT="0" distB="0" distL="114300" distR="114300" simplePos="0" relativeHeight="251671552" behindDoc="0" locked="0" layoutInCell="1" allowOverlap="1">
            <wp:simplePos x="0" y="0"/>
            <wp:positionH relativeFrom="column">
              <wp:posOffset>-210185</wp:posOffset>
            </wp:positionH>
            <wp:positionV relativeFrom="paragraph">
              <wp:posOffset>53340</wp:posOffset>
            </wp:positionV>
            <wp:extent cx="2936875" cy="1751330"/>
            <wp:effectExtent l="0" t="0" r="9525" b="1270"/>
            <wp:wrapSquare wrapText="bothSides"/>
            <wp:docPr id="12" name="图片 14" descr="BS3A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BS3A7232"/>
                    <pic:cNvPicPr>
                      <a:picLocks noChangeAspect="1"/>
                    </pic:cNvPicPr>
                  </pic:nvPicPr>
                  <pic:blipFill>
                    <a:blip r:embed="rId71"/>
                    <a:stretch>
                      <a:fillRect/>
                    </a:stretch>
                  </pic:blipFill>
                  <pic:spPr>
                    <a:xfrm>
                      <a:off x="0" y="0"/>
                      <a:ext cx="2936875" cy="1751330"/>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2843530</wp:posOffset>
            </wp:positionH>
            <wp:positionV relativeFrom="paragraph">
              <wp:posOffset>64135</wp:posOffset>
            </wp:positionV>
            <wp:extent cx="2444115" cy="1762125"/>
            <wp:effectExtent l="0" t="0" r="6985" b="3175"/>
            <wp:wrapSquare wrapText="bothSides"/>
            <wp:docPr id="11"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1"/>
                    <pic:cNvPicPr>
                      <a:picLocks noChangeAspect="1"/>
                    </pic:cNvPicPr>
                  </pic:nvPicPr>
                  <pic:blipFill>
                    <a:blip r:embed="rId72"/>
                    <a:srcRect t="15833"/>
                    <a:stretch>
                      <a:fillRect/>
                    </a:stretch>
                  </pic:blipFill>
                  <pic:spPr>
                    <a:xfrm>
                      <a:off x="0" y="0"/>
                      <a:ext cx="2444115" cy="1762125"/>
                    </a:xfrm>
                    <a:prstGeom prst="rect">
                      <a:avLst/>
                    </a:prstGeom>
                    <a:noFill/>
                    <a:ln>
                      <a:noFill/>
                    </a:ln>
                  </pic:spPr>
                </pic:pic>
              </a:graphicData>
            </a:graphic>
          </wp:anchor>
        </w:drawing>
      </w:r>
      <w:r>
        <w:rPr>
          <w:rFonts w:hint="eastAsia"/>
          <w:sz w:val="24"/>
          <w:lang w:val="en-US" w:eastAsia="zh-CN"/>
        </w:rPr>
        <w:t>图3.7教师现场教学</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2019年5月郑文焕老师在2019年揭阳市技工院校“中式烹调师（职工组）”竞赛项目中，荣获三等奖。学生唐志文在2019年揭阳市技工院校“中式烹调师（学生组）”竞赛项目中，荣获三等奖。</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2019年9月，我校烹饪专业郑文焕、陈志东、潘润老师参加“广东揭阳首届潮客粤菜师傅乡厨厨艺邀请赛”获得“银奖”。</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2019年12月获“粤菜师傅”工程之第二届“粤东创业英雄会”创业大赛“网络最佳人气奖”。</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2019年12月我校烹饪专业郑文焕获中国潮菜烹饪技艺教育贡献奖。</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2020年7月我校烹饪专业郑文焕老师获食尚鲍之源国际星厨大赛广州赛区“银奖”。</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2020年12月我校烹饪专业郑文焕老师获揭阳最美工匠称号。</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2020年1月，我校中餐烹饪专业教师郑文焕和陈志东老师在揭阳市人社局主办的“揭阳市十大潮菜师傅评选活动”中，被授予“揭阳市十大潮菜师傅”荣誉称号。</w:t>
      </w:r>
    </w:p>
    <w:p>
      <w:pPr>
        <w:pStyle w:val="5"/>
        <w:keepNext w:val="0"/>
        <w:keepLines w:val="0"/>
        <w:pageBreakBefore w:val="0"/>
        <w:widowControl w:val="0"/>
        <w:numPr>
          <w:ilvl w:val="0"/>
          <w:numId w:val="29"/>
        </w:numPr>
        <w:kinsoku/>
        <w:wordWrap/>
        <w:overflowPunct/>
        <w:topLinePunct w:val="0"/>
        <w:autoSpaceDE/>
        <w:autoSpaceDN/>
        <w:bidi w:val="0"/>
        <w:adjustRightInd/>
        <w:snapToGrid/>
        <w:ind w:left="0" w:firstLine="480" w:firstLineChars="200"/>
        <w:textAlignment w:val="auto"/>
        <w:rPr>
          <w:rFonts w:hint="eastAsia" w:ascii="Arial" w:hAnsi="Arial"/>
          <w:lang w:val="en-US" w:eastAsia="zh-CN"/>
        </w:rPr>
      </w:pPr>
      <w:r>
        <w:rPr>
          <w:rFonts w:hint="eastAsia" w:ascii="Arial" w:hAnsi="Arial"/>
          <w:lang w:val="en-US" w:eastAsia="zh-CN"/>
        </w:rPr>
        <w:t>进一步强化示范作用，为“1+X”证书试点做好准备</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学校通过参与地方主流媒体——揭阳电视台录制的餐饮类节目，包括了《食在揭阳》、《风味揭阳》等。加大了中餐烹饪专业宣传，为“1+X”证书试点的招生工作做了一个很好的招生宣传。</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2020年4月，学校粤菜文化研究培训基地受韩山师范学院烹饪专业邀请，参与省教育厅烹饪技能证书实操考试菜品标准的制定工作，编写了初级菜品标注10道，中级菜品标准10道；为“1+X”证书试点工作中的培训和考证项目奠定扎实的基础。</w:t>
      </w:r>
    </w:p>
    <w:p>
      <w:pPr>
        <w:pStyle w:val="3"/>
        <w:numPr>
          <w:ilvl w:val="0"/>
          <w:numId w:val="21"/>
        </w:numPr>
        <w:bidi w:val="0"/>
        <w:ind w:left="60" w:leftChars="0" w:firstLine="420" w:firstLineChars="0"/>
        <w:rPr>
          <w:rFonts w:hint="eastAsia"/>
          <w:b/>
          <w:lang w:val="en-US" w:eastAsia="zh-CN"/>
        </w:rPr>
      </w:pPr>
      <w:bookmarkStart w:id="47" w:name="_Toc29611"/>
      <w:r>
        <w:rPr>
          <w:rFonts w:hint="eastAsia"/>
          <w:b/>
          <w:lang w:val="en-US" w:eastAsia="zh-CN"/>
        </w:rPr>
        <w:t>质量保障的落实与成效</w:t>
      </w:r>
      <w:bookmarkEnd w:id="47"/>
    </w:p>
    <w:p>
      <w:pPr>
        <w:pStyle w:val="4"/>
        <w:numPr>
          <w:ilvl w:val="0"/>
          <w:numId w:val="30"/>
        </w:numPr>
        <w:bidi w:val="0"/>
        <w:ind w:left="0" w:leftChars="0" w:firstLine="562" w:firstLineChars="200"/>
        <w:rPr>
          <w:rFonts w:hint="eastAsia"/>
        </w:rPr>
      </w:pPr>
      <w:r>
        <w:rPr>
          <w:rFonts w:hint="eastAsia"/>
        </w:rPr>
        <w:t>党建情况</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学校党总支以“两学一做”和“三会一课”学习教育为重点和切入点，以“不忘初心、牢记使命”主题教育作为载体。深入贯彻党的十九届四中全会精神，紧紧围绕学校教育教学中心工作，全面推进思想、组织、作风和制度建设，进一步深化学校党建工作。</w:t>
      </w:r>
    </w:p>
    <w:p>
      <w:pPr>
        <w:pStyle w:val="5"/>
        <w:keepNext w:val="0"/>
        <w:keepLines w:val="0"/>
        <w:pageBreakBefore w:val="0"/>
        <w:widowControl w:val="0"/>
        <w:numPr>
          <w:ilvl w:val="0"/>
          <w:numId w:val="31"/>
        </w:numPr>
        <w:kinsoku/>
        <w:wordWrap/>
        <w:overflowPunct/>
        <w:topLinePunct w:val="0"/>
        <w:autoSpaceDE/>
        <w:autoSpaceDN/>
        <w:bidi w:val="0"/>
        <w:adjustRightInd/>
        <w:snapToGrid/>
        <w:ind w:firstLine="480" w:firstLineChars="200"/>
        <w:textAlignment w:val="auto"/>
      </w:pPr>
      <w:bookmarkStart w:id="48" w:name="_Toc505003825"/>
      <w:bookmarkStart w:id="49" w:name="_Toc13568"/>
      <w:r>
        <w:rPr>
          <w:rFonts w:hint="eastAsia"/>
        </w:rPr>
        <w:t>依托学习载体，提升理论素养</w:t>
      </w:r>
      <w:bookmarkEnd w:id="48"/>
      <w:bookmarkEnd w:id="49"/>
    </w:p>
    <w:p>
      <w:pPr>
        <w:spacing w:line="360" w:lineRule="auto"/>
        <w:ind w:firstLine="480" w:firstLineChars="200"/>
        <w:rPr>
          <w:rFonts w:hint="eastAsia" w:ascii="宋体" w:hAnsi="宋体" w:eastAsia="宋体" w:cs="宋体"/>
          <w:color w:val="000000"/>
          <w:sz w:val="24"/>
          <w:lang w:val="en-US" w:eastAsia="zh-CN"/>
        </w:rPr>
      </w:pPr>
      <w:bookmarkStart w:id="50" w:name="_Toc7578"/>
      <w:r>
        <w:rPr>
          <w:rFonts w:hint="eastAsia" w:ascii="宋体" w:hAnsi="宋体" w:eastAsia="宋体" w:cs="宋体"/>
          <w:color w:val="000000"/>
          <w:sz w:val="24"/>
          <w:lang w:val="en-US" w:eastAsia="zh-CN"/>
        </w:rPr>
        <w:t>落实榕城区教育局分党委关于“基层组织建没三年行动计划工作方案”，规范好基层党组织的建设</w:t>
      </w:r>
      <w:bookmarkEnd w:id="50"/>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根据《榕城区教育局加强党的基层组织建没三年行动计划工作方案》的工作要求，结合《中国共产党支部工作条例（试行）》《中国共产党工作机关条例（试行）》等有关基层党建的党内法规制度。以各类主题学习以及主题党日活动为载体，积极推进党组织标准化规范化建设。</w:t>
      </w:r>
    </w:p>
    <w:p>
      <w:pPr>
        <w:pStyle w:val="6"/>
        <w:numPr>
          <w:ilvl w:val="0"/>
          <w:numId w:val="32"/>
        </w:numPr>
        <w:bidi w:val="0"/>
        <w:rPr>
          <w:rFonts w:hint="eastAsia"/>
        </w:rPr>
      </w:pPr>
      <w:bookmarkStart w:id="51" w:name="_Toc20054"/>
      <w:r>
        <w:rPr>
          <w:rFonts w:hint="eastAsia"/>
        </w:rPr>
        <w:t>以“</w:t>
      </w:r>
      <w:r>
        <w:rPr>
          <w:rFonts w:hint="eastAsia"/>
          <w:lang w:val="en-US" w:eastAsia="zh-CN"/>
        </w:rPr>
        <w:t>建党100周年党史学习</w:t>
      </w:r>
      <w:r>
        <w:rPr>
          <w:rFonts w:hint="eastAsia"/>
        </w:rPr>
        <w:t>”主题教育活动为载体，扎实开展基层组织生活</w:t>
      </w:r>
      <w:bookmarkEnd w:id="51"/>
    </w:p>
    <w:p>
      <w:pPr>
        <w:spacing w:line="360" w:lineRule="auto"/>
        <w:ind w:firstLine="480" w:firstLineChars="200"/>
        <w:rPr>
          <w:rFonts w:hint="eastAsia" w:ascii="宋体" w:hAnsi="宋体" w:eastAsia="宋体" w:cs="宋体"/>
          <w:color w:val="000000"/>
          <w:sz w:val="24"/>
          <w:lang w:val="en-US" w:eastAsia="zh-CN"/>
        </w:rPr>
      </w:pPr>
      <w:bookmarkStart w:id="52" w:name="_Toc505003828"/>
      <w:bookmarkStart w:id="53" w:name="_Toc29995177"/>
      <w:bookmarkStart w:id="54" w:name="_Toc472001007"/>
      <w:r>
        <w:rPr>
          <w:rFonts w:hint="eastAsia" w:ascii="宋体" w:hAnsi="宋体" w:eastAsia="宋体" w:cs="宋体"/>
          <w:color w:val="000000"/>
          <w:sz w:val="24"/>
          <w:lang w:val="en-US" w:eastAsia="zh-CN"/>
        </w:rPr>
        <w:t>这一年我们通过“建党100周年党史学习”这一主题活动，在2020年“不忘初心、牢记使命”这一主题教育活动建设成果的基础上，继续深入落实“三会一课”制度，通过“建党100周年党史学习”这一主题活动为学习载体，通过集中学习研讨，广泛开展学习宣传先进人物事迹，组织观看相关的专题记录 片，用榜样激发正能量，用反面案例做到警钟长鸣等活动方式，提升了组织的凝聚力、强化了组织的先锋示范作用，达到了组织力提升的目的。</w:t>
      </w:r>
    </w:p>
    <w:p>
      <w:pPr>
        <w:pStyle w:val="6"/>
        <w:numPr>
          <w:ilvl w:val="0"/>
          <w:numId w:val="32"/>
        </w:numPr>
        <w:bidi w:val="0"/>
        <w:ind w:firstLine="723"/>
        <w:rPr>
          <w:rFonts w:hint="eastAsia"/>
        </w:rPr>
      </w:pPr>
      <w:bookmarkStart w:id="55" w:name="_Toc12021"/>
      <w:r>
        <w:rPr>
          <w:rFonts w:hint="eastAsia"/>
        </w:rPr>
        <w:t>坚决落实“书记工程项目”，引导党员立足岗位作贡献</w:t>
      </w:r>
      <w:bookmarkEnd w:id="52"/>
      <w:bookmarkEnd w:id="53"/>
      <w:bookmarkEnd w:id="54"/>
      <w:bookmarkEnd w:id="55"/>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推进“三年行动计划”建设期间建立起来的相关工作制度的落实，形成常态化制度化的制度，进一步规范好组织生活制度，包括“三会一课”制度、“党日主题”以及“谈心谈话”等活动制度。继续加强“书记工程”的建设，包括“学校党员干部公示”项目的建设、“党员帮扶工作”项目的建设，在党员中开展“亮身份、亮承诺、亮业绩”活动，学校党总支部设立党总支工作督导栏，亮明学校党总支各委员的工作内容和工作职责，接受人民群众监督。力求充分发挥好党员先锋模范作用和党组织的自我监督作用，坚持做到“一个也不掉队，一个也不落下”这一工作原则。</w:t>
      </w:r>
    </w:p>
    <w:p>
      <w:pPr>
        <w:pStyle w:val="5"/>
        <w:keepNext w:val="0"/>
        <w:keepLines w:val="0"/>
        <w:pageBreakBefore w:val="0"/>
        <w:widowControl w:val="0"/>
        <w:numPr>
          <w:ilvl w:val="0"/>
          <w:numId w:val="31"/>
        </w:numPr>
        <w:kinsoku/>
        <w:wordWrap/>
        <w:overflowPunct/>
        <w:topLinePunct w:val="0"/>
        <w:autoSpaceDE/>
        <w:autoSpaceDN/>
        <w:bidi w:val="0"/>
        <w:adjustRightInd/>
        <w:snapToGrid/>
        <w:ind w:left="0" w:firstLine="480" w:firstLineChars="200"/>
        <w:textAlignment w:val="auto"/>
        <w:rPr>
          <w:rFonts w:hint="eastAsia" w:ascii="Arial" w:hAnsi="Arial"/>
        </w:rPr>
      </w:pPr>
      <w:bookmarkStart w:id="56" w:name="_Toc505003829"/>
      <w:bookmarkStart w:id="57" w:name="_Toc23889"/>
      <w:r>
        <w:rPr>
          <w:rFonts w:hint="eastAsia" w:ascii="Arial" w:hAnsi="Arial"/>
        </w:rPr>
        <w:t>加强教育管理，</w:t>
      </w:r>
      <w:bookmarkEnd w:id="56"/>
      <w:r>
        <w:rPr>
          <w:rFonts w:hint="eastAsia" w:ascii="Arial" w:hAnsi="Arial"/>
        </w:rPr>
        <w:t>提升组织的战斗堡垒作用和先锋示范作用</w:t>
      </w:r>
      <w:bookmarkEnd w:id="57"/>
    </w:p>
    <w:p>
      <w:pPr>
        <w:spacing w:line="360" w:lineRule="auto"/>
        <w:ind w:firstLine="480" w:firstLineChars="200"/>
        <w:rPr>
          <w:rFonts w:hint="eastAsia" w:ascii="宋体" w:hAnsi="宋体" w:eastAsia="宋体" w:cs="宋体"/>
          <w:color w:val="000000"/>
          <w:sz w:val="24"/>
          <w:lang w:val="en-US" w:eastAsia="zh-CN"/>
        </w:rPr>
      </w:pPr>
      <w:bookmarkStart w:id="58" w:name="_Toc505003830"/>
      <w:bookmarkStart w:id="59" w:name="_Toc29995179"/>
      <w:r>
        <w:rPr>
          <w:rFonts w:hint="eastAsia" w:ascii="宋体" w:hAnsi="宋体" w:eastAsia="宋体" w:cs="宋体"/>
          <w:color w:val="000000"/>
          <w:sz w:val="24"/>
          <w:lang w:val="en-US" w:eastAsia="zh-CN"/>
        </w:rPr>
        <w:t>以《中国共产党廉洁自律准则》《关于新形势下党内政治生活的若准则》《中国共产党问责条例》《中国共产党纪律处分条例》以及《中国共产党党内监督条例》等党内规定作为日常的政治纪律、工作纪律和作风纪律。然后以“三会一课”、“党日主题活动”为载体，开展纪律培训和作风培训，以此来警示和鞭策党员教师时时刻刻要在日常教学一线中发挥党员的先锋模范作用。在不同的工作岗位上发光发热的同时，也要强化组织凝聚力发挥基层党组织的战斗堡垒作用。切实做到“散是漫天星，聚是一团火”。</w:t>
      </w:r>
    </w:p>
    <w:p>
      <w:pPr>
        <w:pStyle w:val="6"/>
        <w:numPr>
          <w:ilvl w:val="0"/>
          <w:numId w:val="33"/>
        </w:numPr>
        <w:bidi w:val="0"/>
        <w:ind w:firstLine="723"/>
        <w:rPr>
          <w:rFonts w:hint="eastAsia"/>
        </w:rPr>
      </w:pPr>
      <w:bookmarkStart w:id="60" w:name="_Toc10115"/>
      <w:r>
        <w:rPr>
          <w:rFonts w:hint="eastAsia"/>
        </w:rPr>
        <w:t>加强干部队伍建设</w:t>
      </w:r>
      <w:bookmarkEnd w:id="58"/>
      <w:bookmarkEnd w:id="59"/>
      <w:bookmarkEnd w:id="60"/>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充分发挥班子成员分工协作、集体决策的优良传统，增强班子的战斗力。建立和实行中层干部工作考核制度，重平时考核、重实绩考核，使全体干部注重学习，自觉接受教育和监督。</w:t>
      </w:r>
    </w:p>
    <w:p>
      <w:pPr>
        <w:pStyle w:val="6"/>
        <w:numPr>
          <w:ilvl w:val="0"/>
          <w:numId w:val="33"/>
        </w:numPr>
        <w:bidi w:val="0"/>
        <w:ind w:firstLine="723"/>
        <w:rPr>
          <w:rFonts w:hint="eastAsia"/>
        </w:rPr>
      </w:pPr>
      <w:bookmarkStart w:id="61" w:name="_Toc505003831"/>
      <w:bookmarkStart w:id="62" w:name="_Toc14157"/>
      <w:bookmarkStart w:id="63" w:name="_Toc29995180"/>
      <w:r>
        <w:rPr>
          <w:rFonts w:hint="eastAsia"/>
        </w:rPr>
        <w:t>加强党员队伍建设</w:t>
      </w:r>
      <w:bookmarkEnd w:id="61"/>
      <w:bookmarkEnd w:id="62"/>
      <w:bookmarkEnd w:id="63"/>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充分发挥党员的先锋模范作用，体现“我是党员我带头”。扎实做好党员组织建设工作，根据区教育局分党委的要求，本学年度主要根据“我是党员我带头”的党日主题活动积极开展每周星期一的党日主题活动，并做好相关记录和资料汇总。明确党员的职责和义务，并通过日常的学习活动加强党组织的凝聚力建设。另外，学校还结合我市创建文明城市的活动实际，安排党员下沉基层活动，充分发挥党员的先锋模范作用，充分体现“我是党员我带头”的现实意义。</w:t>
      </w:r>
    </w:p>
    <w:p>
      <w:pPr>
        <w:pStyle w:val="6"/>
        <w:numPr>
          <w:ilvl w:val="0"/>
          <w:numId w:val="33"/>
        </w:numPr>
        <w:bidi w:val="0"/>
        <w:ind w:firstLine="723"/>
        <w:rPr>
          <w:rFonts w:hint="eastAsia"/>
        </w:rPr>
      </w:pPr>
      <w:bookmarkStart w:id="64" w:name="_Toc29995181"/>
      <w:bookmarkStart w:id="65" w:name="_Toc505003832"/>
      <w:bookmarkStart w:id="66" w:name="_Toc12866"/>
      <w:r>
        <w:rPr>
          <w:rFonts w:hint="eastAsia"/>
        </w:rPr>
        <w:t>加强教师队伍建设</w:t>
      </w:r>
      <w:bookmarkEnd w:id="64"/>
      <w:bookmarkEnd w:id="65"/>
      <w:bookmarkEnd w:id="66"/>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对全体教职工加强理想信念教育和职业道德教育，结合开展办人民满意的教育的活动，组织教师学习《中等职业学校教师职业道德规范（试行）》《未成年人保护法》等法律法规，进一步规范教师从教行为；严格要求教师认真履行职责，为人师表，教书育人。坚决治理教师队伍中违反师德的行为，杜绝有偿家教，净化教书育人环境。组织教师学习上级教育主管部门下发的各类违犯师德的典型案例，要求广大教师自觉增强立德树人、教书育人的荣誉感和责任感，做学生健康成长的指导者和引路人，引导教师不断加强师德修养和认真落实教育、教学常规，促进教师专业成长。</w:t>
      </w:r>
    </w:p>
    <w:p>
      <w:pPr>
        <w:pStyle w:val="5"/>
        <w:keepNext w:val="0"/>
        <w:keepLines w:val="0"/>
        <w:pageBreakBefore w:val="0"/>
        <w:widowControl w:val="0"/>
        <w:numPr>
          <w:ilvl w:val="0"/>
          <w:numId w:val="31"/>
        </w:numPr>
        <w:kinsoku/>
        <w:wordWrap/>
        <w:overflowPunct/>
        <w:topLinePunct w:val="0"/>
        <w:autoSpaceDE/>
        <w:autoSpaceDN/>
        <w:bidi w:val="0"/>
        <w:adjustRightInd/>
        <w:snapToGrid/>
        <w:ind w:left="0" w:firstLine="480" w:firstLineChars="200"/>
        <w:textAlignment w:val="auto"/>
        <w:rPr>
          <w:rFonts w:hint="eastAsia" w:ascii="Arial" w:hAnsi="Arial"/>
        </w:rPr>
      </w:pPr>
      <w:bookmarkStart w:id="67" w:name="_Toc8726"/>
      <w:bookmarkStart w:id="68" w:name="_Toc505003833"/>
      <w:r>
        <w:rPr>
          <w:rFonts w:hint="eastAsia" w:ascii="Arial" w:hAnsi="Arial"/>
        </w:rPr>
        <w:t>重视文明创建，提升学校内涵</w:t>
      </w:r>
      <w:bookmarkEnd w:id="67"/>
      <w:bookmarkEnd w:id="68"/>
    </w:p>
    <w:p>
      <w:pPr>
        <w:pStyle w:val="6"/>
        <w:numPr>
          <w:ilvl w:val="0"/>
          <w:numId w:val="34"/>
        </w:numPr>
        <w:bidi w:val="0"/>
        <w:ind w:firstLine="723"/>
        <w:rPr>
          <w:rFonts w:hint="eastAsia"/>
        </w:rPr>
      </w:pPr>
      <w:bookmarkStart w:id="69" w:name="_Toc505003834"/>
      <w:bookmarkStart w:id="70" w:name="_Toc20848"/>
      <w:bookmarkStart w:id="71" w:name="_Toc472001013"/>
      <w:r>
        <w:rPr>
          <w:rFonts w:hint="eastAsia"/>
        </w:rPr>
        <w:t>落实师德规范，加强师德建设</w:t>
      </w:r>
      <w:bookmarkEnd w:id="69"/>
      <w:bookmarkEnd w:id="70"/>
      <w:bookmarkEnd w:id="71"/>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以“师德承诺”为载体，深化师德建设，进一步规范教师的言行，切实转变教育思想，建立新型的师生关系，恪守职业道德。开展争创优秀共产党员、师德标兵和优秀教师活动，把争做师德标兵活动纳入学校精神文明建设的总体规划。坚持“立德树人”、“德育为先”思想，提高创建文明单位的水平</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结合我校是揭阳市级文明单位的实际，以提升社会公德、职业道德、家庭美德教育为重点，以文明礼仪教育为切入点，继续提高创建文明单位的水平。</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充分发挥宣传媒体作用</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树立师生身边的先进典型。通过校园网、橱窗板报、校园广播等媒体和专刊、专栏形式进行宣传，以达到营造良好的舆论氛围的效果。</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    在新的一年里，学校党总支部将围绕学校教育教学这一中心工作，进一步解放思想，开拓进取，以昂扬向上、奋发有为的精神状态，狠抓工作落实，为学校发展而努力！</w:t>
      </w:r>
    </w:p>
    <w:p>
      <w:pPr>
        <w:pStyle w:val="4"/>
        <w:numPr>
          <w:ilvl w:val="0"/>
          <w:numId w:val="30"/>
        </w:numPr>
        <w:bidi w:val="0"/>
        <w:ind w:left="0" w:leftChars="0" w:firstLine="562" w:firstLineChars="200"/>
        <w:rPr>
          <w:rFonts w:hint="eastAsia"/>
        </w:rPr>
      </w:pPr>
      <w:r>
        <w:rPr>
          <w:rFonts w:hint="eastAsia"/>
        </w:rPr>
        <w:t>教学规范化管理</w:t>
      </w:r>
    </w:p>
    <w:p>
      <w:pPr>
        <w:pStyle w:val="5"/>
        <w:keepNext w:val="0"/>
        <w:keepLines w:val="0"/>
        <w:pageBreakBefore w:val="0"/>
        <w:widowControl w:val="0"/>
        <w:numPr>
          <w:ilvl w:val="0"/>
          <w:numId w:val="35"/>
        </w:numPr>
        <w:tabs>
          <w:tab w:val="left" w:pos="480"/>
          <w:tab w:val="clear" w:pos="0"/>
        </w:tabs>
        <w:kinsoku/>
        <w:wordWrap/>
        <w:overflowPunct/>
        <w:topLinePunct w:val="0"/>
        <w:autoSpaceDE/>
        <w:autoSpaceDN/>
        <w:bidi w:val="0"/>
        <w:adjustRightInd/>
        <w:snapToGrid/>
        <w:ind w:left="480" w:leftChars="200" w:firstLine="0" w:firstLineChars="0"/>
        <w:textAlignment w:val="auto"/>
        <w:rPr>
          <w:rFonts w:hint="default" w:ascii="Arial" w:hAnsi="Arial"/>
          <w:lang w:val="en-US" w:eastAsia="zh-CN"/>
        </w:rPr>
      </w:pPr>
      <w:r>
        <w:rPr>
          <w:rFonts w:hint="eastAsia" w:ascii="Arial" w:hAnsi="Arial"/>
          <w:lang w:val="en-US" w:eastAsia="zh-CN"/>
        </w:rPr>
        <w:t>教学规范化管理工作</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一是不断探索和完善教学管理体系，实行校部二级管理，设立教务科和专业部，部门管理职责权限明确。</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二是抓好教学计划管理。依据实施性教学计划，制定 “四表一志”（校历表、作息时间表、教学进程表、课程表、班主任日志），下达教学任务书，明确了各阶段的教学内容及重点。根据学校教学工作计划，认真制定教学处工作计划；组织教研组长制定教研组工作计划；组织教师编制课程授课计划，落实理论课实验课实训课的教学内容；并按计划执行。</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三是按照中等职业教育的人才培养目标和不同课程的岗位要求，按照规范程序编制了课程标准。</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四是抓好教学过程管理。加强对教学质量的监控，平时每节课都有值日教师查课；定期检查备课笔记、听课笔记和学生作业，发现问题及时督促整改；认真组织期中、期末考核和质量分析；进行评教评学活动，了解教学情况，及时纠正偏差。</w:t>
      </w:r>
    </w:p>
    <w:p>
      <w:pPr>
        <w:spacing w:line="360" w:lineRule="auto"/>
        <w:ind w:firstLine="480" w:firstLineChars="200"/>
        <w:rPr>
          <w:rFonts w:hint="eastAsia"/>
          <w:sz w:val="24"/>
        </w:rPr>
      </w:pPr>
      <w:r>
        <w:rPr>
          <w:rFonts w:hint="eastAsia" w:ascii="宋体" w:hAnsi="宋体" w:eastAsia="宋体" w:cs="宋体"/>
          <w:color w:val="000000"/>
          <w:sz w:val="24"/>
          <w:lang w:val="en-US" w:eastAsia="zh-CN"/>
        </w:rPr>
        <w:t>五是积极推进课程改革，大力开发校本教材，并重视资源开发与利用。</w:t>
      </w:r>
    </w:p>
    <w:p>
      <w:pPr>
        <w:pStyle w:val="5"/>
        <w:keepNext w:val="0"/>
        <w:keepLines w:val="0"/>
        <w:pageBreakBefore w:val="0"/>
        <w:widowControl w:val="0"/>
        <w:numPr>
          <w:ilvl w:val="0"/>
          <w:numId w:val="35"/>
        </w:numPr>
        <w:kinsoku/>
        <w:wordWrap/>
        <w:overflowPunct/>
        <w:topLinePunct w:val="0"/>
        <w:autoSpaceDE/>
        <w:autoSpaceDN/>
        <w:bidi w:val="0"/>
        <w:adjustRightInd/>
        <w:snapToGrid/>
        <w:ind w:left="0" w:firstLine="480" w:firstLineChars="200"/>
        <w:textAlignment w:val="auto"/>
        <w:rPr>
          <w:rFonts w:hint="default" w:ascii="Arial" w:hAnsi="Arial"/>
          <w:lang w:val="en-US" w:eastAsia="zh-CN"/>
        </w:rPr>
      </w:pPr>
      <w:r>
        <w:rPr>
          <w:rFonts w:hint="eastAsia" w:ascii="Arial" w:hAnsi="Arial"/>
          <w:lang w:val="en-US" w:eastAsia="zh-CN"/>
        </w:rPr>
        <w:t>教科研规范管理工作成果</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一是积极开展教研活动。学校各教研室积极组织了公开课活动，开设校级公开课累计57节，组织50多名教师先后到广东省内外知名的中职学校参加交流，跟其他学校的教师进行研讨，开阔了教师眼界。</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二是参加各类竞赛。积极参加广东省教育厅关于举办第五届中国“互联网+” 大学生创新创业大赛广东省分赛，由郑文焕老师担任负责人的《“潮味游”旅行美食培训》和陈志东老师担任负责人的《“粿滋味”速食粿汁》分别参加职教赛道“互联网”+文化创意服务和 “互联网” +制造业项目。在第十五届全国中等职业学校“文明风采”竞赛活动中，我校取得优异成绩，1个作品获省决赛一等奖，9个作品荣获二等奖，23个作品荣获三等奖，学校荣获全省和全国优秀组织奖。在广东省技能竞赛项目，2019-2020年度广东省技能竞赛，我校参赛项目10个，获二等奖项目2个，获三等奖项目4个，参赛获奖率60%。接下来将加紧对各项目的情况开展总结，力保明年成绩更上一个台阶。</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三是学校教科研工作有健全的组织机构，有可行的保障制度和配套措施，教科研队伍阵容较大，学校制定了校本教材，致力于课题研究，其中课题《中职规范管理与人文关怀》获得广东省优秀结题，课题《中职依法治校与人文关怀的实践研究》获得省立项。</w:t>
      </w:r>
    </w:p>
    <w:p>
      <w:pPr>
        <w:pStyle w:val="4"/>
        <w:numPr>
          <w:ilvl w:val="0"/>
          <w:numId w:val="30"/>
        </w:numPr>
        <w:bidi w:val="0"/>
        <w:ind w:left="425" w:leftChars="0" w:firstLine="53" w:firstLineChars="19"/>
        <w:rPr>
          <w:rFonts w:hint="eastAsia"/>
        </w:rPr>
      </w:pPr>
      <w:r>
        <w:rPr>
          <w:rFonts w:hint="eastAsia"/>
        </w:rPr>
        <w:t>实训基地建设</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学校建有各专业配套实训基地，其中有8个广东省中等职业教育实训基地，共有100多间实习实训室，校内实践教学场所面积22050平方米，生均实践场所面积6.1平方米，校内实践教学工位数5250个，比去年增加100个，生均实训实习工位数1.3，与去年持平。实习实训工位数的增加主要得益于学校动漫专业获得了双精准专项建设资金合计共131万元，开展了第二期实训场室的建设，增加了一定的实训实习工位数。</w:t>
      </w:r>
    </w:p>
    <w:p>
      <w:pPr>
        <w:spacing w:line="360" w:lineRule="auto"/>
        <w:ind w:firstLine="480" w:firstLineChars="20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另外在《广东省职业教育“扩容、提质、强服务”三年行动计划（2019-2021年）》推动下学校还完成了心理健康发展中心以及教师笔记本电脑的配套，极大地提高了学校教学办学条件，目前心理健康发展中心以及教师笔记本电脑均已在2021年7月份之前投入使用。在计划中数字媒体技术实训室、3D打印实训室以及电子信息专业考核室均已开工建设，预计在2021至2022学年度第一学期完成建设。</w:t>
      </w:r>
    </w:p>
    <w:p>
      <w:pPr>
        <w:spacing w:line="360" w:lineRule="auto"/>
        <w:ind w:firstLine="361" w:firstLineChars="200"/>
        <w:rPr>
          <w:rFonts w:hint="eastAsia" w:ascii="宋体" w:hAnsi="宋体" w:eastAsia="宋体" w:cs="宋体"/>
          <w:b/>
          <w:bCs/>
          <w:color w:val="000000"/>
          <w:sz w:val="18"/>
          <w:szCs w:val="18"/>
          <w:lang w:val="en-US" w:eastAsia="zh-CN"/>
        </w:rPr>
      </w:pPr>
      <w:r>
        <w:rPr>
          <w:rFonts w:hint="eastAsia" w:ascii="宋体" w:hAnsi="宋体" w:eastAsia="宋体" w:cs="宋体"/>
          <w:b/>
          <w:bCs/>
          <w:color w:val="000000"/>
          <w:sz w:val="18"/>
          <w:szCs w:val="18"/>
          <w:lang w:val="en-US" w:eastAsia="zh-CN"/>
        </w:rPr>
        <w:t>《广东省职业教育“扩容、提质、强服务”三年行动计划（2019-2021年）》落实情况表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序号</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用款单位</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资金年份</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项目名称</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下达金额（万元）</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下达时间（年月）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1</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揭阳捷和职业技术学校</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2020</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学生实训室台式电脑及教师办公笔记本电脑购置项目</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198</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2020年7月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揭阳捷和职业技术学校</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2020</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心理健康发展中心及配套建设</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150</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2020年7月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3</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揭阳捷和职业技术学校</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2021</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教室空调安装、用电线路增容改造及配套建设项目</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280</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2021年7月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6" w:hRule="atLeast"/>
        </w:trPr>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4</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揭阳捷和职业技术学校</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2021</w:t>
            </w:r>
          </w:p>
        </w:tc>
        <w:tc>
          <w:tcPr>
            <w:tcW w:w="142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专业实训场室设备采购及相关配套建设项目（数字媒体技术实训室、3D打印实训室、电子信息专业考核室）</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253</w:t>
            </w:r>
          </w:p>
        </w:tc>
        <w:tc>
          <w:tcPr>
            <w:tcW w:w="1421"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center"/>
              <w:rPr>
                <w:b w:val="0"/>
                <w:bCs w:val="0"/>
                <w:sz w:val="20"/>
                <w:szCs w:val="20"/>
              </w:rPr>
            </w:pPr>
            <w:r>
              <w:rPr>
                <w:rFonts w:hint="eastAsia" w:ascii="宋体" w:hAnsi="宋体" w:eastAsia="宋体" w:cs="宋体"/>
                <w:b w:val="0"/>
                <w:bCs w:val="0"/>
                <w:color w:val="000000"/>
                <w:kern w:val="0"/>
                <w:sz w:val="20"/>
                <w:szCs w:val="20"/>
                <w:lang w:bidi="ar"/>
              </w:rPr>
              <w:t>2021年7月</w:t>
            </w:r>
          </w:p>
        </w:tc>
      </w:tr>
    </w:tbl>
    <w:p>
      <w:pPr>
        <w:spacing w:line="360" w:lineRule="auto"/>
        <w:ind w:firstLine="600" w:firstLineChars="250"/>
        <w:rPr>
          <w:rFonts w:hint="eastAsia"/>
          <w:sz w:val="24"/>
        </w:rPr>
      </w:pP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另外，学校目前拥有8个广东省中等职业教育实训基地，共有100多间实习实训室，校内实践教学场所面积22050平方米，生均实践场所面积5.7平方米。</w:t>
      </w: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ind w:firstLine="480"/>
        <w:jc w:val="center"/>
        <w:rPr>
          <w:rFonts w:hint="eastAsia" w:ascii="仿宋_GB2312" w:hAnsi="Courier New" w:eastAsia="仿宋_GB2312"/>
          <w:color w:val="auto"/>
        </w:rPr>
      </w:pPr>
    </w:p>
    <w:p>
      <w:pPr>
        <w:spacing w:line="360" w:lineRule="auto"/>
        <w:ind w:firstLine="482" w:firstLineChars="200"/>
        <w:jc w:val="center"/>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校内实训基地一览表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365"/>
        <w:gridCol w:w="3570"/>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序号</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专业名称</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各级财政专项资金建设实训基地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场室名称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1</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电子与信息技术</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中央财政支持中等职业学校重点建设专业实训基地</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广东省中等职业教育电子与信息技术专业实训基地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电子装配室、电子装配与考核室、机械制图与测绘技术实训室、电子省赛培训及考核办公室室、电子工艺EAD实训室、综合布线实训室、家电电视整机维修实操室、传感器检测技术实训室，单片机/PLC实训室、单片机技术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2</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计算机应用</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中央财政支持中等职业学校重点建设专业实训基地</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广东省中等职业教育计算机应用专业实训基地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计算机基础实训室、计算机软件开发与测试实训室、计算机组装与维护实训室、超大计算机房，标准计算机房，网络室、网络技术实训室等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3</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机电技术应用</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广东省中等职业学校重点建设专业实训基地</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广东省中等职业教育机电技术应用专业实训基地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电子装配室、EDA电子设计自动化实训室、电力拖动实验室、PLC室、光机电一体化自动控制室、维修电工实训考核室、钳工实训室、多媒体教学实训室等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4</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汽车运用与维修</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广东省中等职业教育汽车运用与维修专业实训基地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汽车底盘构造与维修实训室、汽车空调与美容实训室、汽车发动机与整车实训室、汽车电气构造与维修实训室、3D虚拟实训室等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5</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数控技术应用</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广东省中等职业教育数控技术应用专业实训基地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CAD/CAM实训室、普车普铣实训室、工具房、数控车床实训室、数控铣床实训室和磨刀车间实训室等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6</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学前教育</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广东省中等职业教育学前教育专业实训基地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钢琴实训室、电钢琴实训室、音乐厅，乐器室、声乐室、古筝室、保育婴活动实训室、舞蹈体形综合训练室、手工设计室等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7</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电子商务</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广东省中等职业教育电子商务专业实训基地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电子商务产品摄像实训室、网上创业实训室、图像处理实训室、图像处理实训室、电子商务实训、电子商务物流实训室、揭阳捷和军埔电商产品摄像实训室、揭阳捷和军埔实战实训室、揭阳捷和军埔洽谈实训室和揭阳捷和军埔运营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8</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会计</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广东省中等职业教育会计专业实训基地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企业经营（沙盘模拟）实训室、会计手工实训室、会计手工实训室、会计电算化实训室等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9</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烹饪专业</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区财政支持实训基地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基本功（刀工）实训室、基本功（鼎工）实训室, 面点实训室、热菜示范实训室、热菜仿真实训室等（食堂三楼）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10</w:t>
            </w:r>
          </w:p>
        </w:tc>
        <w:tc>
          <w:tcPr>
            <w:tcW w:w="1365" w:type="dxa"/>
            <w:vAlign w:val="center"/>
          </w:tcPr>
          <w:p>
            <w:pPr>
              <w:keepNext w:val="0"/>
              <w:keepLines w:val="0"/>
              <w:pageBreakBefore w:val="0"/>
              <w:kinsoku/>
              <w:wordWrap/>
              <w:overflowPunct/>
              <w:topLinePunct w:val="0"/>
              <w:autoSpaceDE/>
              <w:autoSpaceDN/>
              <w:bidi w:val="0"/>
              <w:adjustRightInd w:val="0"/>
              <w:snapToGrid w:val="0"/>
              <w:spacing w:before="163"/>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lang w:val="en-US" w:eastAsia="zh-CN"/>
              </w:rPr>
              <w:t>计算机动漫与游戏制作</w:t>
            </w:r>
          </w:p>
        </w:tc>
        <w:tc>
          <w:tcPr>
            <w:tcW w:w="3570" w:type="dxa"/>
            <w:vAlign w:val="center"/>
          </w:tcPr>
          <w:p>
            <w:pPr>
              <w:keepNext w:val="0"/>
              <w:keepLines w:val="0"/>
              <w:pageBreakBefore w:val="0"/>
              <w:kinsoku/>
              <w:wordWrap/>
              <w:overflowPunct/>
              <w:topLinePunct w:val="0"/>
              <w:autoSpaceDE/>
              <w:autoSpaceDN/>
              <w:bidi w:val="0"/>
              <w:adjustRightInd w:val="0"/>
              <w:snapToGrid w:val="0"/>
              <w:spacing w:before="163"/>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lang w:val="en-US" w:eastAsia="zh-CN"/>
              </w:rPr>
              <w:t>广东省双精准示范专业建设实训基地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lang w:val="en-US" w:eastAsia="zh-CN"/>
              </w:rPr>
              <w:t>二维设计室、三维设计室、影视后期制作室、动漫设计与3D打印制作室、</w:t>
            </w:r>
            <w:r>
              <w:rPr>
                <w:rFonts w:hint="eastAsia" w:ascii="宋体" w:hAnsi="宋体" w:eastAsia="宋体" w:cs="宋体"/>
                <w:b w:val="0"/>
                <w:bCs/>
                <w:color w:val="auto"/>
                <w:sz w:val="18"/>
                <w:szCs w:val="18"/>
              </w:rPr>
              <w:t>动漫设计多媒体室、软件开发多媒体室、动漫制作实训室、动漫素描室等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11</w:t>
            </w:r>
          </w:p>
        </w:tc>
        <w:tc>
          <w:tcPr>
            <w:tcW w:w="1365"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美术设计与制作</w:t>
            </w:r>
          </w:p>
        </w:tc>
        <w:tc>
          <w:tcPr>
            <w:tcW w:w="3570"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区财政支持实训基地</w:t>
            </w:r>
          </w:p>
        </w:tc>
        <w:tc>
          <w:tcPr>
            <w:tcW w:w="3823" w:type="dxa"/>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val="0"/>
                <w:bCs/>
                <w:color w:val="auto"/>
                <w:sz w:val="18"/>
                <w:szCs w:val="18"/>
              </w:rPr>
            </w:pPr>
            <w:r>
              <w:rPr>
                <w:rFonts w:hint="eastAsia" w:ascii="宋体" w:hAnsi="宋体" w:eastAsia="宋体" w:cs="宋体"/>
                <w:b w:val="0"/>
                <w:bCs/>
                <w:color w:val="auto"/>
                <w:sz w:val="18"/>
                <w:szCs w:val="18"/>
              </w:rPr>
              <w:t>美术室3间、美术器材室等</w:t>
            </w:r>
          </w:p>
        </w:tc>
      </w:tr>
    </w:tbl>
    <w:p>
      <w:pPr>
        <w:rPr>
          <w:rFonts w:hint="eastAsia"/>
          <w:sz w:val="28"/>
          <w:szCs w:val="28"/>
        </w:rPr>
      </w:pPr>
    </w:p>
    <w:p>
      <w:pPr>
        <w:rPr>
          <w:rFonts w:ascii="仿宋_GB2312" w:hAnsi="Courier New" w:eastAsia="仿宋_GB2312"/>
          <w:color w:val="auto"/>
        </w:rPr>
      </w:pPr>
      <w:r>
        <w:rPr>
          <w:rFonts w:ascii="仿宋_GB2312" w:hAnsi="Courier New" w:eastAsia="仿宋_GB2312"/>
          <w:color w:val="auto"/>
        </w:rPr>
        <w:drawing>
          <wp:inline distT="0" distB="0" distL="114300" distR="114300">
            <wp:extent cx="5095875" cy="2609215"/>
            <wp:effectExtent l="0" t="0" r="9525" b="6985"/>
            <wp:docPr id="27" name="图片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18"/>
                    <pic:cNvPicPr>
                      <a:picLocks noChangeAspect="1"/>
                    </pic:cNvPicPr>
                  </pic:nvPicPr>
                  <pic:blipFill>
                    <a:blip r:embed="rId73"/>
                    <a:stretch>
                      <a:fillRect/>
                    </a:stretch>
                  </pic:blipFill>
                  <pic:spPr>
                    <a:xfrm>
                      <a:off x="0" y="0"/>
                      <a:ext cx="5095875" cy="2609215"/>
                    </a:xfrm>
                    <a:prstGeom prst="rect">
                      <a:avLst/>
                    </a:prstGeom>
                    <a:noFill/>
                    <a:ln>
                      <a:noFill/>
                    </a:ln>
                  </pic:spPr>
                </pic:pic>
              </a:graphicData>
            </a:graphic>
          </wp:inline>
        </w:drawing>
      </w:r>
    </w:p>
    <w:p>
      <w:pPr>
        <w:spacing w:line="360" w:lineRule="auto"/>
        <w:ind w:firstLine="480" w:firstLineChars="200"/>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图3.9 学校实训中心 行知楼</w:t>
      </w:r>
    </w:p>
    <w:p>
      <w:pPr>
        <w:rPr>
          <w:rFonts w:ascii="仿宋_GB2312" w:hAnsi="Courier New" w:eastAsia="仿宋_GB2312"/>
          <w:color w:val="auto"/>
        </w:rPr>
      </w:pPr>
      <w:r>
        <w:rPr>
          <w:rFonts w:ascii="仿宋_GB2312" w:hAnsi="Courier New" w:eastAsia="仿宋_GB2312"/>
          <w:color w:val="auto"/>
        </w:rPr>
        <w:drawing>
          <wp:inline distT="0" distB="0" distL="114300" distR="114300">
            <wp:extent cx="5003800" cy="2655570"/>
            <wp:effectExtent l="0" t="0" r="0" b="11430"/>
            <wp:docPr id="34"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15"/>
                    <pic:cNvPicPr>
                      <a:picLocks noChangeAspect="1"/>
                    </pic:cNvPicPr>
                  </pic:nvPicPr>
                  <pic:blipFill>
                    <a:blip r:embed="rId74"/>
                    <a:stretch>
                      <a:fillRect/>
                    </a:stretch>
                  </pic:blipFill>
                  <pic:spPr>
                    <a:xfrm>
                      <a:off x="0" y="0"/>
                      <a:ext cx="5003800" cy="2655570"/>
                    </a:xfrm>
                    <a:prstGeom prst="rect">
                      <a:avLst/>
                    </a:prstGeom>
                    <a:noFill/>
                    <a:ln>
                      <a:noFill/>
                    </a:ln>
                  </pic:spPr>
                </pic:pic>
              </a:graphicData>
            </a:graphic>
          </wp:inline>
        </w:drawing>
      </w:r>
    </w:p>
    <w:p>
      <w:pPr>
        <w:spacing w:line="360" w:lineRule="auto"/>
        <w:ind w:firstLine="480" w:firstLineChars="200"/>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图3.10 学校信息中心 博识楼</w:t>
      </w:r>
    </w:p>
    <w:p>
      <w:pPr>
        <w:pStyle w:val="4"/>
        <w:numPr>
          <w:ilvl w:val="0"/>
          <w:numId w:val="30"/>
        </w:numPr>
        <w:bidi w:val="0"/>
        <w:ind w:left="245" w:leftChars="0" w:firstLine="233" w:firstLineChars="83"/>
        <w:rPr>
          <w:rFonts w:hint="eastAsia"/>
        </w:rPr>
      </w:pPr>
      <w:r>
        <w:rPr>
          <w:rFonts w:hint="eastAsia"/>
        </w:rPr>
        <w:t>财务管理制度情况</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学校严格按照省市物价部门和教育行政部门规定的收费项目和标准亮证收费，执行收费许可证制度，所收费用全部按规定纳入学校的办学经费渠道进行规范管理。学校的经费收支项目每学期在公示栏进行公示。建立健全财务管理制度，认真制定并执行学校财务计划，分清资金渠道，合理使用资金。严格掌握费用开支范围和开支标准，执行财务支出专人审批制度。经费开支实行民主管理，遵守国家财经制度和财经纪律，按上级财政部门的要求使用经费，并接受上级财务和审计部门的监督。财务运行做到用款有计划，收支有标准，分析有资料，监督有要求。</w:t>
      </w:r>
    </w:p>
    <w:p>
      <w:pPr>
        <w:pStyle w:val="4"/>
        <w:numPr>
          <w:ilvl w:val="0"/>
          <w:numId w:val="30"/>
        </w:numPr>
        <w:bidi w:val="0"/>
        <w:ind w:left="425" w:leftChars="0" w:firstLine="53" w:firstLineChars="19"/>
        <w:rPr>
          <w:rFonts w:hint="eastAsia"/>
        </w:rPr>
      </w:pPr>
      <w:r>
        <w:rPr>
          <w:rFonts w:hint="eastAsia"/>
        </w:rPr>
        <w:t>后勤服务保障</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rPr>
        <w:t>后勤管理服务有保障</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一是我校后勤科及时做好各类创建、迎评资料的整理与现场准备；按照规范程序完成各类专项资金、年度预算资金的政府采购工作；及时维修教室宿舍水电设施、办公桌椅等各类公用设施；根据需要及时采买，保障供应各类办公用品及教学实验物资；同时，按上级要求及时完成各类材料报送与数据上报。学校后勤工作的及时到位，为学校各类项目建设提供优质服务。二是公务活动规范化。学校严格按照上级要求认真做好公务消费一体化工作，应网上备案的项目全部备案，无公务消费报警现象发生。学校严格公务消费接待管理规定的执行，接待等公务消费持续保低位运行。三是做好安全工作，特别是在食品安全和校舍管理方面也下足功夫。严格按照《食品卫生法》对食堂工作把关，做好食堂的清洁卫生工作；重视饮食安全，严格执行食品留样制度，不定期检查，杜绝食物安全隐患的出现。建设平安校园，未发生治安案件和安全事故，为教育教学提供了坚实保障。</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Arial" w:hAnsi="Arial"/>
        </w:rPr>
      </w:pPr>
      <w:r>
        <w:rPr>
          <w:rFonts w:hint="eastAsia"/>
          <w:lang w:eastAsia="zh-CN"/>
        </w:rPr>
        <w:t>（</w:t>
      </w:r>
      <w:r>
        <w:rPr>
          <w:rFonts w:hint="eastAsia"/>
          <w:lang w:val="en-US" w:eastAsia="zh-CN"/>
        </w:rPr>
        <w:t>2</w:t>
      </w:r>
      <w:r>
        <w:rPr>
          <w:rFonts w:hint="eastAsia"/>
          <w:lang w:eastAsia="zh-CN"/>
        </w:rPr>
        <w:t>）</w:t>
      </w:r>
      <w:r>
        <w:rPr>
          <w:rFonts w:hint="eastAsia" w:ascii="Arial" w:hAnsi="Arial"/>
        </w:rPr>
        <w:t>资助情况</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2020年度生均财政拨款10663.22元，2020—2021学年度我校共评审和发放国家助学金311人，共计62.2万元，享受免学费学生2606人，共计912.1万元。</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2019年度生均财政拨款10539.49元2019—2020学年度我校共评审和发放国家助学金284人，共计43.4万元，享受免学费学生2984人，共计1044.38万元。</w:t>
      </w:r>
    </w:p>
    <w:p>
      <w:pPr>
        <w:pStyle w:val="4"/>
        <w:bidi w:val="0"/>
        <w:ind w:left="425" w:leftChars="0" w:firstLine="53" w:firstLineChars="19"/>
        <w:rPr>
          <w:rFonts w:hint="eastAsia"/>
        </w:rPr>
      </w:pPr>
      <w:r>
        <w:rPr>
          <w:rFonts w:hint="eastAsia"/>
        </w:rPr>
        <w:t>加强管理队伍建设</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Arial" w:hAnsi="Arial"/>
          <w:lang w:val="en-US" w:eastAsia="zh-CN"/>
        </w:rPr>
      </w:pPr>
      <w:r>
        <w:rPr>
          <w:rFonts w:hint="eastAsia"/>
          <w:lang w:val="en-US" w:eastAsia="zh-CN"/>
        </w:rPr>
        <w:t>（1）</w:t>
      </w:r>
      <w:r>
        <w:rPr>
          <w:rFonts w:hint="eastAsia" w:ascii="Arial" w:hAnsi="Arial"/>
          <w:lang w:val="en-US" w:eastAsia="zh-CN"/>
        </w:rPr>
        <w:t>强化思想引领，奠定坚实的思想基础</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坚持用中国特色社会主义理论武装管理队伍，坚定理想信念，提高理论素养和政策水平，注重运用理论学习成果解决实际问题。加强和改进思想政治工作，以社会主义核心价值观引领师德师风建设。牢固树立“育人为本、德育为先”理念，提高教书育人、管理育人、服务育人的自觉性。采取多种形式组织学习，把学校发展与个人发展结合起来，把智慧和力量凝聚到培养合格人才、创建中职名校的战略目标上来，调动一切积极因素，共创文明和谐、科学发展的新局面。</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Arial" w:hAnsi="Arial"/>
          <w:lang w:val="en-US" w:eastAsia="zh-CN"/>
        </w:rPr>
      </w:pPr>
      <w:r>
        <w:rPr>
          <w:rFonts w:hint="eastAsia"/>
          <w:lang w:val="en-US" w:eastAsia="zh-CN"/>
        </w:rPr>
        <w:t>（2）</w:t>
      </w:r>
      <w:r>
        <w:rPr>
          <w:rFonts w:hint="eastAsia" w:ascii="Arial" w:hAnsi="Arial"/>
          <w:lang w:val="en-US" w:eastAsia="zh-CN"/>
        </w:rPr>
        <w:t>加强党建工作，提供强有力的组织保障</w:t>
      </w:r>
    </w:p>
    <w:p>
      <w:pPr>
        <w:pStyle w:val="8"/>
        <w:spacing w:line="417" w:lineRule="auto"/>
        <w:ind w:left="120" w:right="391" w:firstLine="480" w:firstLineChars="200"/>
        <w:rPr>
          <w:rFonts w:hint="eastAsia" w:asciiTheme="minorHAnsi" w:hAnsiTheme="minorHAnsi" w:eastAsiaTheme="minorEastAsia" w:cstheme="minorBidi"/>
          <w:kern w:val="2"/>
          <w:sz w:val="24"/>
          <w:szCs w:val="24"/>
          <w:lang w:val="en-US" w:eastAsia="zh-CN" w:bidi="ar-SA"/>
        </w:rPr>
      </w:pPr>
      <w:r>
        <w:rPr>
          <w:rFonts w:hint="eastAsia" w:ascii="宋体" w:hAnsi="宋体" w:eastAsia="宋体" w:cs="宋体"/>
          <w:color w:val="000000"/>
          <w:kern w:val="2"/>
          <w:sz w:val="24"/>
          <w:szCs w:val="24"/>
          <w:lang w:val="en-US" w:eastAsia="zh-CN" w:bidi="ar-SA"/>
        </w:rPr>
        <w:t>认真落实党委领导下的校长负责制，建立健全党政分工合作、协调运行的工作机制。坚持不懈抓好党风廉政建设和作风建设，抓好领导班子建设、学习型党组织建设和基层党支部建设，抓好全体党员学习教育，提高党组织的凝聚力和战斗力，充分发挥党员先锋模范作用。抓好广大教职工廉洁从教教育，杜绝腐败和违规违纪现象发生。坚持党管干部、党管人才原则，努力建设结构合理、业务精湛、充满活力、师德高尚的高素质教学团队和管理队伍，为学校发展提供强有力的组织保障和人才保障。</w:t>
      </w:r>
    </w:p>
    <w:p>
      <w:pPr>
        <w:pStyle w:val="5"/>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Arial" w:hAnsi="Arial"/>
          <w:lang w:val="en-US" w:eastAsia="zh-CN"/>
        </w:rPr>
      </w:pPr>
      <w:r>
        <w:rPr>
          <w:rFonts w:hint="eastAsia"/>
          <w:lang w:val="en-US" w:eastAsia="zh-CN"/>
        </w:rPr>
        <w:t>（3）</w:t>
      </w:r>
      <w:r>
        <w:rPr>
          <w:rFonts w:hint="eastAsia" w:ascii="Arial" w:hAnsi="Arial"/>
          <w:lang w:val="en-US" w:eastAsia="zh-CN"/>
        </w:rPr>
        <w:t>强化治理体系建设，提升管理能力和服务水平</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坚持依法治校，围绕现代学校治理体系构建和现代治理能力提升，积极推进内部管理体制改革，完善校部二级管理体制。加强制度建设，完善内部治理结构和运行机制；坚持教职工代表大会制度，健全师生员工参与民主管理和监督的工作机制。加强对工会、团委等群团组织的领导，探索和完善师生员工、群众团体参与民主决策、民主管理和民主监督的有效实现形式， 调动参与民主管理的积极性，为实现学校发展目标献计出力。</w:t>
      </w:r>
    </w:p>
    <w:p>
      <w:pPr>
        <w:pStyle w:val="4"/>
        <w:numPr>
          <w:ilvl w:val="0"/>
          <w:numId w:val="30"/>
        </w:numPr>
        <w:bidi w:val="0"/>
        <w:ind w:left="425" w:leftChars="0" w:firstLine="53" w:firstLineChars="19"/>
        <w:rPr>
          <w:rFonts w:hint="eastAsia"/>
        </w:rPr>
      </w:pPr>
      <w:r>
        <w:rPr>
          <w:rFonts w:hint="eastAsia"/>
        </w:rPr>
        <w:t>信息化建设情况</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学校接入互联网出口带宽580 Mbps，校园网主干最大带宽1000 Mbps，网络信息点数1800个，软件系统1个，智慧校园管理提醒1个，数据库2个。同时，完成了校园一卡通建设，实现了用户数据统一数据管理、统一认证、单点登录、安全审计的身份管理模式；开启了数字化校园平台的建设任务。校园网络现已基本形成了核心层、汇聚层及接入层三层结构。现有监控点实现了全覆盖、不间断、高质量的目标。</w:t>
      </w:r>
    </w:p>
    <w:p>
      <w:pPr>
        <w:pStyle w:val="2"/>
        <w:bidi w:val="0"/>
        <w:ind w:left="60" w:leftChars="0" w:firstLineChars="0"/>
        <w:rPr>
          <w:rFonts w:hint="eastAsia"/>
          <w:b/>
          <w:lang w:val="en-US" w:eastAsia="zh-CN"/>
        </w:rPr>
      </w:pPr>
      <w:bookmarkStart w:id="72" w:name="_Toc13449"/>
      <w:r>
        <w:rPr>
          <w:rFonts w:hint="eastAsia"/>
          <w:b/>
          <w:lang w:val="en-US" w:eastAsia="zh-CN"/>
        </w:rPr>
        <w:t>国际合作情况</w:t>
      </w:r>
      <w:bookmarkEnd w:id="72"/>
    </w:p>
    <w:p>
      <w:pPr>
        <w:pStyle w:val="3"/>
        <w:numPr>
          <w:ilvl w:val="0"/>
          <w:numId w:val="36"/>
        </w:numPr>
        <w:bidi w:val="0"/>
        <w:ind w:left="60" w:leftChars="0" w:firstLineChars="0"/>
        <w:rPr>
          <w:rFonts w:hint="eastAsia"/>
          <w:b/>
          <w:lang w:val="en-US" w:eastAsia="zh-CN"/>
        </w:rPr>
      </w:pPr>
      <w:bookmarkStart w:id="73" w:name="_Toc5249"/>
      <w:r>
        <w:rPr>
          <w:rFonts w:hint="eastAsia"/>
          <w:b/>
          <w:lang w:val="en-US" w:eastAsia="zh-CN"/>
        </w:rPr>
        <w:t>暂未开展有关工作</w:t>
      </w:r>
      <w:bookmarkEnd w:id="73"/>
    </w:p>
    <w:p>
      <w:pPr>
        <w:pStyle w:val="2"/>
        <w:bidi w:val="0"/>
        <w:ind w:left="60" w:leftChars="0" w:firstLineChars="0"/>
        <w:rPr>
          <w:rFonts w:hint="eastAsia"/>
          <w:b/>
          <w:lang w:val="en-US" w:eastAsia="zh-CN"/>
        </w:rPr>
      </w:pPr>
      <w:bookmarkStart w:id="74" w:name="_Toc12370"/>
      <w:r>
        <w:rPr>
          <w:rFonts w:hint="eastAsia"/>
          <w:b/>
          <w:lang w:val="en-US" w:eastAsia="zh-CN"/>
        </w:rPr>
        <w:t>服务贡献情况</w:t>
      </w:r>
      <w:bookmarkEnd w:id="74"/>
    </w:p>
    <w:p>
      <w:pPr>
        <w:pStyle w:val="3"/>
        <w:numPr>
          <w:ilvl w:val="0"/>
          <w:numId w:val="37"/>
        </w:numPr>
        <w:bidi w:val="0"/>
        <w:ind w:left="60" w:leftChars="0" w:firstLineChars="0"/>
        <w:rPr>
          <w:rFonts w:hint="eastAsia"/>
          <w:b/>
          <w:lang w:val="en-US" w:eastAsia="zh-CN"/>
        </w:rPr>
      </w:pPr>
      <w:bookmarkStart w:id="75" w:name="_Toc32611"/>
      <w:r>
        <w:rPr>
          <w:rFonts w:hint="eastAsia"/>
          <w:b/>
          <w:lang w:val="en-US" w:eastAsia="zh-CN"/>
        </w:rPr>
        <w:t>社会服务</w:t>
      </w:r>
      <w:bookmarkEnd w:id="75"/>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多年来学校一直在从不同的渠道拓展社区服务能力，学校充分利用自身优势，积极为职工开展各种专业技能培训工作，积极开展社区教育，长期服务于社区群众，提高了城市青年及农民工的文化知识面及技能水平。2020年10月份，在我校举办的“2020年揭阳市榕城区农村就业创业青年“领头雁”工程技能培训”。每年的3月份和9月份学校都会定期向周边的兄弟单位和开展烹饪技能社区培训活动，近三年来该专项培训培训人员超过了300人。一系列社区培训的开展，在提升学校影响力和实用技能培训能力之外，也极大地提升了学校社会服务的能力。</w:t>
      </w:r>
    </w:p>
    <w:p>
      <w:pPr>
        <w:pStyle w:val="8"/>
        <w:spacing w:line="417" w:lineRule="auto"/>
        <w:ind w:right="391"/>
        <w:jc w:val="center"/>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drawing>
          <wp:inline distT="0" distB="0" distL="114300" distR="114300">
            <wp:extent cx="4450080" cy="2966720"/>
            <wp:effectExtent l="0" t="0" r="7620" b="5080"/>
            <wp:docPr id="74" name="图片 74" descr="6267ff867736a646ffb51b678098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6267ff867736a646ffb51b6780982318"/>
                    <pic:cNvPicPr>
                      <a:picLocks noChangeAspect="1"/>
                    </pic:cNvPicPr>
                  </pic:nvPicPr>
                  <pic:blipFill>
                    <a:blip r:embed="rId75"/>
                    <a:stretch>
                      <a:fillRect/>
                    </a:stretch>
                  </pic:blipFill>
                  <pic:spPr>
                    <a:xfrm>
                      <a:off x="0" y="0"/>
                      <a:ext cx="4450080" cy="2966720"/>
                    </a:xfrm>
                    <a:prstGeom prst="rect">
                      <a:avLst/>
                    </a:prstGeom>
                  </pic:spPr>
                </pic:pic>
              </a:graphicData>
            </a:graphic>
          </wp:inline>
        </w:drawing>
      </w:r>
    </w:p>
    <w:p>
      <w:pPr>
        <w:pStyle w:val="8"/>
        <w:spacing w:line="417" w:lineRule="auto"/>
        <w:ind w:right="391"/>
        <w:jc w:val="center"/>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drawing>
          <wp:inline distT="0" distB="0" distL="114300" distR="114300">
            <wp:extent cx="4526280" cy="3018155"/>
            <wp:effectExtent l="0" t="0" r="7620" b="4445"/>
            <wp:docPr id="58" name="图片 58" descr="bd042b161bc954124fb19bd43546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bd042b161bc954124fb19bd435460347"/>
                    <pic:cNvPicPr>
                      <a:picLocks noChangeAspect="1"/>
                    </pic:cNvPicPr>
                  </pic:nvPicPr>
                  <pic:blipFill>
                    <a:blip r:embed="rId76"/>
                    <a:stretch>
                      <a:fillRect/>
                    </a:stretch>
                  </pic:blipFill>
                  <pic:spPr>
                    <a:xfrm>
                      <a:off x="0" y="0"/>
                      <a:ext cx="4526280" cy="3018155"/>
                    </a:xfrm>
                    <a:prstGeom prst="rect">
                      <a:avLst/>
                    </a:prstGeom>
                  </pic:spPr>
                </pic:pic>
              </a:graphicData>
            </a:graphic>
          </wp:inline>
        </w:drawing>
      </w:r>
    </w:p>
    <w:p>
      <w:pPr>
        <w:spacing w:line="360" w:lineRule="auto"/>
        <w:ind w:firstLine="480" w:firstLineChars="20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 xml:space="preserve">                      图3.11 烹饪社区培训</w:t>
      </w:r>
    </w:p>
    <w:p>
      <w:pPr>
        <w:spacing w:line="360" w:lineRule="auto"/>
        <w:ind w:firstLine="480" w:firstLineChars="20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同时，学校建立青年志愿者服务团队，对周边社区开展精准扶贫活动，弘扬和传承了中华民族“一方有难，八方相助”的传统美德。除此之外，学校的青年志愿者服务团队还经常组织到榕城区的敬老院和福利院开展“敬老爱幼”等志愿活动。在2019年该志愿者队伍还获得了“潮汕星河奖”道德奖</w:t>
      </w:r>
    </w:p>
    <w:p>
      <w:pPr>
        <w:pStyle w:val="3"/>
        <w:numPr>
          <w:ilvl w:val="0"/>
          <w:numId w:val="37"/>
        </w:numPr>
        <w:bidi w:val="0"/>
        <w:ind w:left="60" w:leftChars="0" w:firstLineChars="0"/>
        <w:rPr>
          <w:rFonts w:hint="eastAsia"/>
          <w:b/>
          <w:lang w:val="en-US" w:eastAsia="zh-CN"/>
        </w:rPr>
      </w:pPr>
      <w:bookmarkStart w:id="76" w:name="_Toc27029"/>
      <w:r>
        <w:rPr>
          <w:rFonts w:hint="eastAsia"/>
          <w:b/>
          <w:lang w:val="en-US" w:eastAsia="zh-CN"/>
        </w:rPr>
        <w:t>对口支援</w:t>
      </w:r>
      <w:bookmarkEnd w:id="76"/>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为充分利用经济发达地区职校优势，为欠发达地区提供优越的岗位培养资源和就业资源进行有效尝试，同时也为“东西部”培养更多的专业人才。我校积极探索与其他职业学校开展联合办学，共同培养“联办生”。“联办生”毕业后可以留在当地就业。2010年以来，在揭阳市教育局的指导下，我校与揭西县第一职业技术学校，霖磐职业技术学校、龙尾职业技术学校、玉湖职业技术学校、惠来县职业技术学校开展校际帮扶，对口帮扶包括：专业建设、课程开发、班主任培训、行政管理能力交流等等，达到双方共同成长的目标。</w:t>
      </w:r>
    </w:p>
    <w:p>
      <w:pPr>
        <w:pStyle w:val="8"/>
        <w:spacing w:line="417" w:lineRule="auto"/>
        <w:ind w:left="120" w:right="391" w:firstLine="480" w:firstLineChars="200"/>
        <w:rPr>
          <w:rFonts w:hint="eastAsia" w:asciiTheme="minorHAnsi" w:hAnsiTheme="minorHAnsi" w:eastAsiaTheme="minorEastAsia" w:cstheme="minorBidi"/>
          <w:kern w:val="2"/>
          <w:sz w:val="24"/>
          <w:szCs w:val="24"/>
          <w:lang w:val="en-US" w:eastAsia="zh-CN" w:bidi="ar-SA"/>
        </w:rPr>
      </w:pPr>
    </w:p>
    <w:p>
      <w:pPr>
        <w:pStyle w:val="2"/>
        <w:bidi w:val="0"/>
        <w:ind w:left="60" w:leftChars="0" w:firstLineChars="0"/>
        <w:rPr>
          <w:rFonts w:hint="eastAsia"/>
          <w:b/>
          <w:lang w:val="en-US" w:eastAsia="zh-CN"/>
        </w:rPr>
      </w:pPr>
      <w:bookmarkStart w:id="77" w:name="_Toc10234"/>
      <w:r>
        <w:rPr>
          <w:rFonts w:hint="eastAsia"/>
          <w:b/>
          <w:lang w:val="en-US" w:eastAsia="zh-CN"/>
        </w:rPr>
        <w:t>面临挑战</w:t>
      </w:r>
      <w:bookmarkEnd w:id="77"/>
    </w:p>
    <w:p>
      <w:pPr>
        <w:pStyle w:val="3"/>
        <w:numPr>
          <w:ilvl w:val="0"/>
          <w:numId w:val="38"/>
        </w:numPr>
        <w:bidi w:val="0"/>
        <w:ind w:left="60" w:leftChars="0" w:firstLineChars="0"/>
        <w:rPr>
          <w:rFonts w:hint="default"/>
          <w:b/>
          <w:lang w:val="en-US" w:eastAsia="zh-CN"/>
        </w:rPr>
      </w:pPr>
      <w:bookmarkStart w:id="78" w:name="_Toc11338"/>
      <w:r>
        <w:rPr>
          <w:rFonts w:hint="eastAsia"/>
          <w:b/>
          <w:lang w:val="en-US" w:eastAsia="zh-CN"/>
        </w:rPr>
        <w:t>存在的问题及挑战</w:t>
      </w:r>
      <w:bookmarkEnd w:id="78"/>
    </w:p>
    <w:p>
      <w:pPr>
        <w:pStyle w:val="4"/>
        <w:numPr>
          <w:ilvl w:val="0"/>
          <w:numId w:val="39"/>
        </w:numPr>
        <w:bidi w:val="0"/>
        <w:ind w:left="425" w:leftChars="0" w:firstLine="53" w:firstLineChars="19"/>
        <w:rPr>
          <w:rFonts w:hint="eastAsia"/>
          <w:lang w:val="en-US" w:eastAsia="zh-CN"/>
        </w:rPr>
      </w:pPr>
      <w:bookmarkStart w:id="79" w:name="_Toc2376"/>
      <w:r>
        <w:rPr>
          <w:rFonts w:hint="eastAsia"/>
          <w:lang w:val="en-US" w:eastAsia="zh-CN"/>
        </w:rPr>
        <w:t>校企未能深度合作。</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究其原因有二，一是当地企业上规模的不是很多，跟职校合作意愿不强；二是学校专业跟企业的要求还不是很对接，学生掌握的技能尚不能适应企业的要求，这是学校必须改进的地方。如果能以政府牵头、行业协会落实、企业参与、学校主动，局面就会打开。</w:t>
      </w:r>
    </w:p>
    <w:p>
      <w:pPr>
        <w:pStyle w:val="4"/>
        <w:numPr>
          <w:ilvl w:val="0"/>
          <w:numId w:val="39"/>
        </w:numPr>
        <w:bidi w:val="0"/>
        <w:ind w:left="425" w:leftChars="0" w:firstLine="53" w:firstLineChars="19"/>
        <w:rPr>
          <w:rFonts w:hint="eastAsia"/>
          <w:lang w:val="en-US" w:eastAsia="zh-CN"/>
        </w:rPr>
      </w:pPr>
      <w:r>
        <w:rPr>
          <w:rFonts w:hint="eastAsia"/>
          <w:lang w:val="en-US" w:eastAsia="zh-CN"/>
        </w:rPr>
        <w:t>配套设施不够完善。</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学校的教学场地（室内球场、培训楼、艺体楼）、设备设施（包括教师宿舍）还不能满足专业快速发展的需求，特别是机电、数控、汽修等专业的设备更新换代快，迫切需要加大对其设备资金的投入。</w:t>
      </w:r>
    </w:p>
    <w:p>
      <w:pPr>
        <w:pStyle w:val="4"/>
        <w:numPr>
          <w:ilvl w:val="0"/>
          <w:numId w:val="39"/>
        </w:numPr>
        <w:bidi w:val="0"/>
        <w:ind w:left="425" w:leftChars="0" w:firstLine="53" w:firstLineChars="19"/>
        <w:rPr>
          <w:rFonts w:hint="eastAsia"/>
          <w:lang w:val="en-US" w:eastAsia="zh-CN"/>
        </w:rPr>
      </w:pPr>
      <w:r>
        <w:rPr>
          <w:rFonts w:hint="eastAsia"/>
          <w:lang w:val="en-US" w:eastAsia="zh-CN"/>
        </w:rPr>
        <w:t>专业骨干教师缺乏。</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近几年，在区委区政府及上级主管部门的支持下，专业教师队伍不断充实、壮大，已基本能满足专业教学的需求，但绝大多数新进教师都是刚踏出校门就踏进另一个校门，企业实践经验不足，实操技能不强，因此专业骨干教师、教学名师队伍尚未形成，成为专业发展的瓶颈，需加大培养力度突破瓶颈。</w:t>
      </w:r>
      <w:bookmarkEnd w:id="79"/>
    </w:p>
    <w:p>
      <w:pPr>
        <w:pStyle w:val="3"/>
        <w:numPr>
          <w:ilvl w:val="0"/>
          <w:numId w:val="38"/>
        </w:numPr>
        <w:bidi w:val="0"/>
        <w:ind w:left="60" w:leftChars="0" w:firstLineChars="0"/>
        <w:rPr>
          <w:rFonts w:hint="eastAsia"/>
          <w:b/>
          <w:lang w:val="en-US" w:eastAsia="zh-CN"/>
        </w:rPr>
      </w:pPr>
      <w:bookmarkStart w:id="80" w:name="_Toc32140"/>
      <w:r>
        <w:rPr>
          <w:rFonts w:hint="eastAsia"/>
          <w:b/>
          <w:lang w:val="en-US" w:eastAsia="zh-CN"/>
        </w:rPr>
        <w:t>接下来工作方向和相关措施</w:t>
      </w:r>
      <w:bookmarkEnd w:id="80"/>
    </w:p>
    <w:p>
      <w:pPr>
        <w:pStyle w:val="4"/>
        <w:numPr>
          <w:ilvl w:val="0"/>
          <w:numId w:val="40"/>
        </w:numPr>
        <w:bidi w:val="0"/>
        <w:ind w:left="425" w:leftChars="0" w:firstLine="53" w:firstLineChars="19"/>
        <w:rPr>
          <w:rFonts w:hint="eastAsia"/>
          <w:lang w:val="en-US" w:eastAsia="zh-CN"/>
        </w:rPr>
      </w:pPr>
      <w:r>
        <w:rPr>
          <w:rFonts w:hint="eastAsia"/>
          <w:lang w:val="en-US" w:eastAsia="zh-CN"/>
        </w:rPr>
        <w:t>强化专业建设，培养高素质人才。</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根据地方产业发展规划和行业企业用人需要，加强重点专业、特色专业建设力度，优化专业结构，培养高素质技能人才，实现与企业零距离接轨；按照“做强主体专业、拓展新兴专业、改造传统专业”的思路和“做特、做精、做强”的要求加强特色专业建设，有针对性地开发新专业，形成结构合理的专业体系，提升服务区域经济发展的能力。</w:t>
      </w:r>
    </w:p>
    <w:p>
      <w:pPr>
        <w:pStyle w:val="4"/>
        <w:numPr>
          <w:ilvl w:val="0"/>
          <w:numId w:val="40"/>
        </w:numPr>
        <w:bidi w:val="0"/>
        <w:ind w:left="425" w:leftChars="0" w:firstLine="53" w:firstLineChars="19"/>
        <w:rPr>
          <w:rFonts w:hint="eastAsia"/>
          <w:lang w:val="en-US" w:eastAsia="zh-CN"/>
        </w:rPr>
      </w:pPr>
      <w:r>
        <w:rPr>
          <w:rFonts w:hint="eastAsia"/>
          <w:lang w:val="en-US" w:eastAsia="zh-CN"/>
        </w:rPr>
        <w:t>深化校企合作，推进“校企一体化”办学。</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继续坚持产教结合、校企合作，与有关行业企业紧密联系，引进有实力、上档次的企业进校园，实现“前校后厂”的校企一体化办学模式，进一步拓展校企合作的深度和广度；建立现代教育联盟，促进校企双方在合作办学、共建实习实训基地以及在岗职工岗位技能培训、鉴定等方面实现双赢；合作建设数控加工基地、开办学校幼儿园等。</w:t>
      </w:r>
    </w:p>
    <w:p>
      <w:pPr>
        <w:pStyle w:val="4"/>
        <w:numPr>
          <w:ilvl w:val="0"/>
          <w:numId w:val="40"/>
        </w:numPr>
        <w:bidi w:val="0"/>
        <w:ind w:left="425" w:leftChars="0" w:firstLine="53" w:firstLineChars="19"/>
        <w:rPr>
          <w:rFonts w:hint="eastAsia"/>
          <w:lang w:val="en-US" w:eastAsia="zh-CN"/>
        </w:rPr>
      </w:pPr>
      <w:r>
        <w:rPr>
          <w:rFonts w:hint="eastAsia"/>
          <w:lang w:val="en-US" w:eastAsia="zh-CN"/>
        </w:rPr>
        <w:t>提升办学的层次。</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在原来“五位一体”的办学模式（学历教育、社区教育、技能培训、联合办学、校企合一）的基础上，进一步加大与高职院校联合办学的步伐，扩大“三二分段”联合办学的合作专业和规模，进一步加大自考学历提升班的办学力度，全方位多层面提升办学的层次。</w:t>
      </w:r>
    </w:p>
    <w:p>
      <w:pPr>
        <w:pStyle w:val="4"/>
        <w:numPr>
          <w:ilvl w:val="0"/>
          <w:numId w:val="40"/>
        </w:numPr>
        <w:bidi w:val="0"/>
        <w:ind w:left="425" w:leftChars="0" w:firstLine="53" w:firstLineChars="19"/>
        <w:rPr>
          <w:rFonts w:hint="eastAsia"/>
          <w:lang w:val="en-US" w:eastAsia="zh-CN"/>
        </w:rPr>
      </w:pPr>
      <w:r>
        <w:rPr>
          <w:rFonts w:hint="eastAsia"/>
          <w:lang w:val="en-US" w:eastAsia="zh-CN"/>
        </w:rPr>
        <w:t>服务当地经济建设。</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寻找服务当地产业发展的接口，及时调整人才培养方案，紧紧围绕揭阳市大型合作项目，结合榕城不锈钢、微电机玩具、工艺鞋、新材料四大产业，做好专业建设规划、布局，对接相关行业发展需求，培养高素质技能人才，服务区域经济发展的需求。</w:t>
      </w:r>
    </w:p>
    <w:p>
      <w:pPr>
        <w:pStyle w:val="4"/>
        <w:numPr>
          <w:ilvl w:val="0"/>
          <w:numId w:val="40"/>
        </w:numPr>
        <w:bidi w:val="0"/>
        <w:ind w:left="425" w:leftChars="0" w:firstLine="53" w:firstLineChars="19"/>
        <w:rPr>
          <w:rFonts w:hint="eastAsia"/>
          <w:lang w:val="en-US" w:eastAsia="zh-CN"/>
        </w:rPr>
      </w:pPr>
      <w:r>
        <w:rPr>
          <w:rFonts w:hint="eastAsia"/>
          <w:lang w:val="en-US" w:eastAsia="zh-CN"/>
        </w:rPr>
        <w:t>提炼办学经验，形成独有的办学特色。</w:t>
      </w:r>
    </w:p>
    <w:p>
      <w:pPr>
        <w:spacing w:line="360" w:lineRule="auto"/>
        <w:ind w:firstLine="480" w:firstLineChars="200"/>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只有把办学的特点、特长拓展成为特色的学校才会有生命力和吸引力，才会走得更远。学校在强化内涵建设、稳定提升办学质量的基础上，将依托现有的校企合作、四文建校以及其它特色活动，力求把学校现有的特点和特长进一步拓展为特色，推进办学特色的形成，促进学校发展质的飞跃，力争三年内，形成专业特点明显、办学质量优良、办学特色鲜明的学校。</w:t>
      </w:r>
    </w:p>
    <w:p>
      <w:pPr>
        <w:spacing w:line="360" w:lineRule="auto"/>
        <w:ind w:firstLine="480" w:firstLineChars="200"/>
        <w:rPr>
          <w:rFonts w:hint="eastAsia" w:ascii="宋体" w:hAnsi="宋体" w:eastAsia="宋体" w:cs="宋体"/>
          <w:color w:val="000000"/>
          <w:sz w:val="24"/>
          <w:lang w:val="en-US" w:eastAsia="zh-CN"/>
        </w:rPr>
      </w:pPr>
    </w:p>
    <w:p>
      <w:pPr>
        <w:spacing w:line="360" w:lineRule="auto"/>
        <w:ind w:firstLine="480" w:firstLineChars="200"/>
        <w:rPr>
          <w:rFonts w:hint="eastAsia" w:ascii="宋体" w:hAnsi="宋体" w:eastAsia="宋体" w:cs="宋体"/>
          <w:color w:val="000000"/>
          <w:sz w:val="24"/>
          <w:lang w:val="en-US" w:eastAsia="zh-CN"/>
        </w:rPr>
      </w:pPr>
    </w:p>
    <w:p>
      <w:pPr>
        <w:spacing w:line="360" w:lineRule="auto"/>
        <w:ind w:firstLine="480" w:firstLineChars="200"/>
        <w:rPr>
          <w:rFonts w:hint="eastAsia" w:ascii="宋体" w:hAnsi="宋体" w:eastAsia="宋体" w:cs="宋体"/>
          <w:color w:val="000000"/>
          <w:sz w:val="24"/>
          <w:lang w:val="en-US" w:eastAsia="zh-CN"/>
        </w:rPr>
      </w:pPr>
    </w:p>
    <w:p>
      <w:pPr>
        <w:ind w:left="0" w:leftChars="0" w:firstLine="0" w:firstLineChars="0"/>
        <w:rPr>
          <w:rFonts w:hint="eastAsia"/>
          <w:sz w:val="28"/>
          <w:szCs w:val="28"/>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o+ZAVAgAAFQQAAA4AAABkcnMvZTJvRG9jLnhtbK1Ty47TMBTdI/EP&#10;lvc0aREzVd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oo+ZAVAgAAFQQAAA4AAAAAAAAA&#10;AQAgAAAAHwEAAGRycy9lMm9Eb2MueG1sUEsFBgAAAAAGAAYAWQEAAKYFA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89</w:t>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1A20D1"/>
    <w:multiLevelType w:val="singleLevel"/>
    <w:tmpl w:val="8F1A20D1"/>
    <w:lvl w:ilvl="0" w:tentative="0">
      <w:start w:val="1"/>
      <w:numFmt w:val="chineseCounting"/>
      <w:pStyle w:val="2"/>
      <w:suff w:val="nothing"/>
      <w:lvlText w:val="%1、"/>
      <w:lvlJc w:val="left"/>
      <w:pPr>
        <w:ind w:left="60" w:firstLine="420"/>
      </w:pPr>
      <w:rPr>
        <w:rFonts w:hint="eastAsia"/>
      </w:rPr>
    </w:lvl>
  </w:abstractNum>
  <w:abstractNum w:abstractNumId="1">
    <w:nsid w:val="B1C46657"/>
    <w:multiLevelType w:val="singleLevel"/>
    <w:tmpl w:val="B1C46657"/>
    <w:lvl w:ilvl="0" w:tentative="0">
      <w:start w:val="1"/>
      <w:numFmt w:val="decimalEnclosedCircleChinese"/>
      <w:pStyle w:val="6"/>
      <w:suff w:val="nothing"/>
      <w:lvlText w:val="%1　"/>
      <w:lvlJc w:val="left"/>
      <w:pPr>
        <w:ind w:left="0" w:firstLine="400"/>
      </w:pPr>
      <w:rPr>
        <w:rFonts w:hint="eastAsia"/>
      </w:rPr>
    </w:lvl>
  </w:abstractNum>
  <w:abstractNum w:abstractNumId="2">
    <w:nsid w:val="CE49B598"/>
    <w:multiLevelType w:val="singleLevel"/>
    <w:tmpl w:val="CE49B598"/>
    <w:lvl w:ilvl="0" w:tentative="0">
      <w:start w:val="1"/>
      <w:numFmt w:val="decimal"/>
      <w:pStyle w:val="5"/>
      <w:isLgl/>
      <w:lvlText w:val="(%1)"/>
      <w:lvlJc w:val="left"/>
      <w:pPr>
        <w:tabs>
          <w:tab w:val="left" w:pos="0"/>
        </w:tabs>
        <w:ind w:left="0" w:leftChars="0" w:firstLine="0" w:firstLineChars="0"/>
      </w:pPr>
      <w:rPr>
        <w:rFonts w:hint="default" w:ascii="宋体" w:hAnsi="宋体" w:eastAsia="宋体" w:cs="宋体"/>
      </w:rPr>
    </w:lvl>
  </w:abstractNum>
  <w:abstractNum w:abstractNumId="3">
    <w:nsid w:val="EBC6E9D6"/>
    <w:multiLevelType w:val="singleLevel"/>
    <w:tmpl w:val="EBC6E9D6"/>
    <w:lvl w:ilvl="0" w:tentative="0">
      <w:start w:val="1"/>
      <w:numFmt w:val="upperLetter"/>
      <w:pStyle w:val="7"/>
      <w:lvlText w:val="%1."/>
      <w:lvlJc w:val="left"/>
      <w:pPr>
        <w:tabs>
          <w:tab w:val="left" w:pos="0"/>
        </w:tabs>
        <w:ind w:left="0" w:leftChars="0" w:firstLine="0" w:firstLineChars="0"/>
      </w:pPr>
      <w:rPr>
        <w:rFonts w:hint="default"/>
      </w:rPr>
    </w:lvl>
  </w:abstractNum>
  <w:abstractNum w:abstractNumId="4">
    <w:nsid w:val="181ACC44"/>
    <w:multiLevelType w:val="singleLevel"/>
    <w:tmpl w:val="181ACC44"/>
    <w:lvl w:ilvl="0" w:tentative="0">
      <w:start w:val="1"/>
      <w:numFmt w:val="decimal"/>
      <w:pStyle w:val="4"/>
      <w:lvlText w:val="%1."/>
      <w:lvlJc w:val="left"/>
      <w:pPr>
        <w:ind w:left="425" w:hanging="425"/>
      </w:pPr>
      <w:rPr>
        <w:rFonts w:hint="default"/>
      </w:rPr>
    </w:lvl>
  </w:abstractNum>
  <w:abstractNum w:abstractNumId="5">
    <w:nsid w:val="4B393E22"/>
    <w:multiLevelType w:val="singleLevel"/>
    <w:tmpl w:val="4B393E22"/>
    <w:lvl w:ilvl="0" w:tentative="0">
      <w:start w:val="1"/>
      <w:numFmt w:val="chineseCounting"/>
      <w:pStyle w:val="3"/>
      <w:suff w:val="nothing"/>
      <w:lvlText w:val="（%1）"/>
      <w:lvlJc w:val="left"/>
      <w:pPr>
        <w:ind w:left="60" w:firstLine="420"/>
      </w:pPr>
      <w:rPr>
        <w:rFonts w:hint="eastAsia"/>
      </w:rPr>
    </w:lvl>
  </w:abstractNum>
  <w:num w:numId="1">
    <w:abstractNumId w:val="0"/>
  </w:num>
  <w:num w:numId="2">
    <w:abstractNumId w:val="5"/>
  </w:num>
  <w:num w:numId="3">
    <w:abstractNumId w:val="4"/>
  </w:num>
  <w:num w:numId="4">
    <w:abstractNumId w:val="2"/>
  </w:num>
  <w:num w:numId="5">
    <w:abstractNumId w:val="1"/>
  </w:num>
  <w:num w:numId="6">
    <w:abstractNumId w:val="3"/>
  </w:num>
  <w:num w:numId="7">
    <w:abstractNumId w:val="5"/>
    <w:lvlOverride w:ilvl="0">
      <w:startOverride w:val="1"/>
    </w:lvlOverride>
  </w:num>
  <w:num w:numId="8">
    <w:abstractNumId w:val="1"/>
    <w:lvlOverride w:ilvl="0">
      <w:startOverride w:val="1"/>
    </w:lvlOverride>
  </w:num>
  <w:num w:numId="9">
    <w:abstractNumId w:val="4"/>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4"/>
    <w:lvlOverride w:ilvl="0">
      <w:startOverride w:val="1"/>
    </w:lvlOverride>
  </w:num>
  <w:num w:numId="18">
    <w:abstractNumId w:val="5"/>
    <w:lvlOverride w:ilvl="0">
      <w:startOverride w:val="1"/>
    </w:lvlOverride>
  </w:num>
  <w:num w:numId="19">
    <w:abstractNumId w:val="4"/>
    <w:lvlOverride w:ilvl="0">
      <w:startOverride w:val="1"/>
    </w:lvlOverride>
  </w:num>
  <w:num w:numId="20">
    <w:abstractNumId w:val="2"/>
    <w:lvlOverride w:ilvl="0">
      <w:startOverride w:val="1"/>
    </w:lvlOverride>
  </w:num>
  <w:num w:numId="21">
    <w:abstractNumId w:val="5"/>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1"/>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3"/>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4"/>
    <w:lvlOverride w:ilvl="0">
      <w:startOverride w:val="1"/>
    </w:lvlOverride>
  </w:num>
  <w:num w:numId="31">
    <w:abstractNumId w:val="2"/>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2"/>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4"/>
    <w:lvlOverride w:ilvl="0">
      <w:startOverride w:val="1"/>
    </w:lvlOverride>
  </w:num>
  <w:num w:numId="40">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1F586F"/>
    <w:rsid w:val="002674A7"/>
    <w:rsid w:val="008B252D"/>
    <w:rsid w:val="00CF42D2"/>
    <w:rsid w:val="00F768B5"/>
    <w:rsid w:val="031D4EED"/>
    <w:rsid w:val="05056A5B"/>
    <w:rsid w:val="062B6D0A"/>
    <w:rsid w:val="08347768"/>
    <w:rsid w:val="0AE61DC4"/>
    <w:rsid w:val="0B1F586F"/>
    <w:rsid w:val="109E6C9D"/>
    <w:rsid w:val="11784A96"/>
    <w:rsid w:val="13AD6AE5"/>
    <w:rsid w:val="1489351B"/>
    <w:rsid w:val="14A82CF1"/>
    <w:rsid w:val="16ED6BF9"/>
    <w:rsid w:val="171916B2"/>
    <w:rsid w:val="177C6525"/>
    <w:rsid w:val="18580816"/>
    <w:rsid w:val="1D2E293A"/>
    <w:rsid w:val="1EBB03B8"/>
    <w:rsid w:val="1F642721"/>
    <w:rsid w:val="24BB3375"/>
    <w:rsid w:val="251D6A5C"/>
    <w:rsid w:val="299D2280"/>
    <w:rsid w:val="2C7C43DD"/>
    <w:rsid w:val="2EAE074E"/>
    <w:rsid w:val="30215F67"/>
    <w:rsid w:val="30733CF8"/>
    <w:rsid w:val="312468E2"/>
    <w:rsid w:val="34A602BC"/>
    <w:rsid w:val="35524FFD"/>
    <w:rsid w:val="35651AF4"/>
    <w:rsid w:val="36363582"/>
    <w:rsid w:val="3733035E"/>
    <w:rsid w:val="37785E76"/>
    <w:rsid w:val="37B11055"/>
    <w:rsid w:val="3B8E3E60"/>
    <w:rsid w:val="3CB475CA"/>
    <w:rsid w:val="3DD833BD"/>
    <w:rsid w:val="3DE203D8"/>
    <w:rsid w:val="3E1E025B"/>
    <w:rsid w:val="3E53735D"/>
    <w:rsid w:val="3EF07270"/>
    <w:rsid w:val="3F3D531C"/>
    <w:rsid w:val="3FF54C25"/>
    <w:rsid w:val="40E230A1"/>
    <w:rsid w:val="443969E7"/>
    <w:rsid w:val="452167F7"/>
    <w:rsid w:val="46A05A30"/>
    <w:rsid w:val="480A1110"/>
    <w:rsid w:val="4A7966BD"/>
    <w:rsid w:val="4B581F87"/>
    <w:rsid w:val="4E341321"/>
    <w:rsid w:val="50845824"/>
    <w:rsid w:val="514566E6"/>
    <w:rsid w:val="52190618"/>
    <w:rsid w:val="5221102A"/>
    <w:rsid w:val="55E83215"/>
    <w:rsid w:val="560F14A5"/>
    <w:rsid w:val="57384B5F"/>
    <w:rsid w:val="58CE1157"/>
    <w:rsid w:val="58F76704"/>
    <w:rsid w:val="59B91DCA"/>
    <w:rsid w:val="59BD4931"/>
    <w:rsid w:val="5B3C2F01"/>
    <w:rsid w:val="5BF209F6"/>
    <w:rsid w:val="5C3664FE"/>
    <w:rsid w:val="61A02C77"/>
    <w:rsid w:val="62FC6E65"/>
    <w:rsid w:val="63F4073D"/>
    <w:rsid w:val="66EE7C16"/>
    <w:rsid w:val="6701305A"/>
    <w:rsid w:val="67D01B4E"/>
    <w:rsid w:val="680513EE"/>
    <w:rsid w:val="681959A8"/>
    <w:rsid w:val="69F24A21"/>
    <w:rsid w:val="6B380E12"/>
    <w:rsid w:val="70591651"/>
    <w:rsid w:val="7064134E"/>
    <w:rsid w:val="70926DFA"/>
    <w:rsid w:val="725C727A"/>
    <w:rsid w:val="74C352F7"/>
    <w:rsid w:val="75D21A46"/>
    <w:rsid w:val="78CA12AF"/>
    <w:rsid w:val="79300EAD"/>
    <w:rsid w:val="7D7A2E81"/>
    <w:rsid w:val="7F7243FE"/>
    <w:rsid w:val="7F914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723" w:firstLineChars="20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0"/>
    <w:pPr>
      <w:keepNext/>
      <w:keepLines/>
      <w:numPr>
        <w:ilvl w:val="0"/>
        <w:numId w:val="2"/>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6"/>
    <w:qFormat/>
    <w:uiPriority w:val="0"/>
    <w:pPr>
      <w:keepNext/>
      <w:keepLines/>
      <w:numPr>
        <w:ilvl w:val="0"/>
        <w:numId w:val="3"/>
      </w:numPr>
      <w:snapToGrid w:val="0"/>
      <w:spacing w:before="260" w:after="260"/>
      <w:contextualSpacing/>
      <w:outlineLvl w:val="2"/>
    </w:pPr>
    <w:rPr>
      <w:rFonts w:ascii="Times New Roman" w:hAnsi="Times New Roman" w:eastAsia="黑体" w:cs="Times New Roman"/>
      <w:b/>
      <w:bCs/>
      <w:sz w:val="28"/>
      <w:szCs w:val="32"/>
    </w:rPr>
  </w:style>
  <w:style w:type="paragraph" w:styleId="5">
    <w:name w:val="heading 4"/>
    <w:basedOn w:val="1"/>
    <w:next w:val="1"/>
    <w:unhideWhenUsed/>
    <w:qFormat/>
    <w:uiPriority w:val="0"/>
    <w:pPr>
      <w:keepNext w:val="0"/>
      <w:keepLines w:val="0"/>
      <w:numPr>
        <w:ilvl w:val="0"/>
        <w:numId w:val="4"/>
      </w:numPr>
      <w:adjustRightInd/>
      <w:snapToGrid/>
      <w:spacing w:beforeLines="0" w:beforeAutospacing="0" w:afterLines="0" w:afterAutospacing="0" w:line="360" w:lineRule="auto"/>
      <w:ind w:left="0" w:firstLine="723" w:firstLineChars="200"/>
      <w:jc w:val="left"/>
      <w:outlineLvl w:val="3"/>
    </w:pPr>
    <w:rPr>
      <w:rFonts w:ascii="Arial" w:hAnsi="Arial"/>
    </w:rPr>
  </w:style>
  <w:style w:type="paragraph" w:styleId="6">
    <w:name w:val="heading 5"/>
    <w:basedOn w:val="1"/>
    <w:next w:val="1"/>
    <w:unhideWhenUsed/>
    <w:qFormat/>
    <w:uiPriority w:val="0"/>
    <w:pPr>
      <w:keepNext w:val="0"/>
      <w:keepLines w:val="0"/>
      <w:numPr>
        <w:ilvl w:val="0"/>
        <w:numId w:val="5"/>
      </w:numPr>
      <w:spacing w:beforeLines="0" w:beforeAutospacing="0" w:afterLines="0" w:afterAutospacing="0" w:line="360" w:lineRule="auto"/>
      <w:outlineLvl w:val="4"/>
    </w:pPr>
  </w:style>
  <w:style w:type="paragraph" w:styleId="7">
    <w:name w:val="heading 6"/>
    <w:basedOn w:val="1"/>
    <w:next w:val="1"/>
    <w:unhideWhenUsed/>
    <w:qFormat/>
    <w:uiPriority w:val="0"/>
    <w:pPr>
      <w:keepNext/>
      <w:keepLines/>
      <w:numPr>
        <w:ilvl w:val="0"/>
        <w:numId w:val="6"/>
      </w:numPr>
      <w:spacing w:beforeLines="0" w:beforeAutospacing="0" w:afterLines="0" w:afterAutospacing="0" w:line="360" w:lineRule="auto"/>
      <w:ind w:firstLine="723" w:firstLineChars="200"/>
      <w:outlineLvl w:val="5"/>
    </w:pPr>
    <w:rPr>
      <w:rFonts w:ascii="Arial" w:hAnsi="Arial"/>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1"/>
    <w:rPr>
      <w:rFonts w:ascii="仿宋" w:hAnsi="仿宋" w:eastAsia="仿宋" w:cs="仿宋"/>
      <w:sz w:val="28"/>
      <w:szCs w:val="28"/>
      <w:lang w:val="zh-CN" w:bidi="zh-CN"/>
    </w:rPr>
  </w:style>
  <w:style w:type="paragraph" w:styleId="9">
    <w:name w:val="Balloon Text"/>
    <w:basedOn w:val="1"/>
    <w:link w:val="24"/>
    <w:qFormat/>
    <w:uiPriority w:val="0"/>
    <w:rPr>
      <w:sz w:val="18"/>
      <w:szCs w:val="18"/>
    </w:rPr>
  </w:style>
  <w:style w:type="paragraph" w:styleId="10">
    <w:name w:val="footer"/>
    <w:basedOn w:val="1"/>
    <w:link w:val="28"/>
    <w:qFormat/>
    <w:uiPriority w:val="0"/>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Subtitle"/>
    <w:basedOn w:val="1"/>
    <w:next w:val="1"/>
    <w:link w:val="27"/>
    <w:qFormat/>
    <w:uiPriority w:val="0"/>
    <w:pPr>
      <w:spacing w:before="240" w:after="60"/>
      <w:contextualSpacing/>
      <w:jc w:val="left"/>
      <w:outlineLvl w:val="1"/>
    </w:pPr>
    <w:rPr>
      <w:rFonts w:ascii="Cambria" w:hAnsi="Cambria" w:eastAsia="黑体"/>
      <w:b/>
      <w:bCs/>
      <w:kern w:val="28"/>
      <w:szCs w:val="32"/>
    </w:rPr>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jc w:val="left"/>
    </w:pPr>
    <w:rPr>
      <w:rFonts w:cs="Times New Roman"/>
      <w:kern w:val="0"/>
      <w:sz w:val="24"/>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Hyperlink"/>
    <w:basedOn w:val="18"/>
    <w:qFormat/>
    <w:uiPriority w:val="0"/>
    <w:rPr>
      <w:color w:val="0000FF"/>
      <w:u w:val="single"/>
    </w:rPr>
  </w:style>
  <w:style w:type="character" w:customStyle="1" w:styleId="21">
    <w:name w:val="font31"/>
    <w:basedOn w:val="18"/>
    <w:qFormat/>
    <w:uiPriority w:val="0"/>
    <w:rPr>
      <w:rFonts w:ascii="Arial" w:hAnsi="Arial" w:cs="Arial"/>
      <w:color w:val="000000"/>
      <w:sz w:val="20"/>
      <w:szCs w:val="20"/>
      <w:u w:val="none"/>
    </w:rPr>
  </w:style>
  <w:style w:type="character" w:customStyle="1" w:styleId="22">
    <w:name w:val="font41"/>
    <w:basedOn w:val="18"/>
    <w:qFormat/>
    <w:uiPriority w:val="0"/>
    <w:rPr>
      <w:rFonts w:hint="default" w:ascii="Arial" w:hAnsi="Arial" w:cs="Arial"/>
      <w:color w:val="000000"/>
      <w:sz w:val="20"/>
      <w:szCs w:val="20"/>
      <w:u w:val="none"/>
    </w:rPr>
  </w:style>
  <w:style w:type="character" w:customStyle="1" w:styleId="23">
    <w:name w:val="font21"/>
    <w:basedOn w:val="18"/>
    <w:qFormat/>
    <w:uiPriority w:val="0"/>
    <w:rPr>
      <w:rFonts w:hint="eastAsia" w:ascii="宋体" w:hAnsi="宋体" w:eastAsia="宋体" w:cs="宋体"/>
      <w:color w:val="000000"/>
      <w:sz w:val="20"/>
      <w:szCs w:val="20"/>
      <w:u w:val="none"/>
    </w:rPr>
  </w:style>
  <w:style w:type="character" w:customStyle="1" w:styleId="24">
    <w:name w:val="批注框文本 Char"/>
    <w:basedOn w:val="18"/>
    <w:link w:val="9"/>
    <w:qFormat/>
    <w:uiPriority w:val="0"/>
    <w:rPr>
      <w:rFonts w:asciiTheme="minorHAnsi" w:hAnsiTheme="minorHAnsi" w:eastAsiaTheme="minorEastAsia" w:cstheme="minorBidi"/>
      <w:kern w:val="2"/>
      <w:sz w:val="18"/>
      <w:szCs w:val="18"/>
    </w:rPr>
  </w:style>
  <w:style w:type="paragraph" w:styleId="25">
    <w:name w:val="List Paragraph"/>
    <w:basedOn w:val="1"/>
    <w:unhideWhenUsed/>
    <w:qFormat/>
    <w:uiPriority w:val="99"/>
    <w:pPr>
      <w:ind w:firstLine="420" w:firstLineChars="200"/>
    </w:pPr>
  </w:style>
  <w:style w:type="character" w:customStyle="1" w:styleId="26">
    <w:name w:val="标题 3 Char"/>
    <w:basedOn w:val="18"/>
    <w:link w:val="4"/>
    <w:qFormat/>
    <w:uiPriority w:val="0"/>
    <w:rPr>
      <w:rFonts w:eastAsia="黑体"/>
      <w:b/>
      <w:bCs/>
      <w:kern w:val="2"/>
      <w:sz w:val="28"/>
      <w:szCs w:val="32"/>
    </w:rPr>
  </w:style>
  <w:style w:type="character" w:customStyle="1" w:styleId="27">
    <w:name w:val="副标题 Char"/>
    <w:basedOn w:val="18"/>
    <w:link w:val="13"/>
    <w:qFormat/>
    <w:uiPriority w:val="0"/>
    <w:rPr>
      <w:rFonts w:ascii="Cambria" w:hAnsi="Cambria" w:eastAsia="黑体" w:cstheme="minorBidi"/>
      <w:b/>
      <w:bCs/>
      <w:kern w:val="28"/>
      <w:sz w:val="21"/>
      <w:szCs w:val="32"/>
    </w:rPr>
  </w:style>
  <w:style w:type="character" w:customStyle="1" w:styleId="28">
    <w:name w:val="页脚 Char"/>
    <w:basedOn w:val="18"/>
    <w:link w:val="10"/>
    <w:qFormat/>
    <w:uiPriority w:val="0"/>
    <w:rPr>
      <w:rFonts w:asciiTheme="minorHAnsi" w:hAnsiTheme="minorHAnsi" w:eastAsiaTheme="minorEastAsia" w:cstheme="minorBidi"/>
      <w:kern w:val="2"/>
      <w:sz w:val="18"/>
      <w:szCs w:val="18"/>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 w:type="character" w:customStyle="1" w:styleId="31">
    <w:name w:val="font01"/>
    <w:basedOn w:val="18"/>
    <w:qFormat/>
    <w:uiPriority w:val="0"/>
    <w:rPr>
      <w:rFonts w:ascii="仿宋_GB2312" w:eastAsia="仿宋_GB2312" w:cs="仿宋_GB2312"/>
      <w:b/>
      <w:bCs/>
      <w:color w:val="000000"/>
      <w:sz w:val="24"/>
      <w:szCs w:val="24"/>
      <w:u w:val="none"/>
    </w:rPr>
  </w:style>
  <w:style w:type="character" w:customStyle="1" w:styleId="32">
    <w:name w:val="font61"/>
    <w:basedOn w:val="18"/>
    <w:qFormat/>
    <w:uiPriority w:val="0"/>
    <w:rPr>
      <w:rFonts w:hint="default" w:ascii="仿宋_GB2312" w:eastAsia="仿宋_GB2312" w:cs="仿宋_GB2312"/>
      <w:color w:val="000000"/>
      <w:sz w:val="24"/>
      <w:szCs w:val="24"/>
      <w:u w:val="none"/>
    </w:rPr>
  </w:style>
  <w:style w:type="character" w:customStyle="1" w:styleId="33">
    <w:name w:val="font51"/>
    <w:basedOn w:val="18"/>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4.jpeg"/><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3.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2.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image" Target="media/image1.png"/><Relationship Id="rId49" Type="http://schemas.openxmlformats.org/officeDocument/2006/relationships/image" Target="media/image44.jpe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theme" Target="theme/theme1.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image" Target="../media/image72.png"/><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lumMod val="50000"/>
                    <a:lumOff val="5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a:solidFill>
                  <a:schemeClr val="tx1">
                    <a:lumMod val="50000"/>
                    <a:lumOff val="50000"/>
                  </a:schemeClr>
                </a:solidFill>
              </a:rPr>
              <a:t>学校全日制在校生总人数对比图表</a:t>
            </a:r>
            <a:endParaRPr lang="zh-CN" altLang="en-US">
              <a:solidFill>
                <a:schemeClr val="tx1">
                  <a:lumMod val="50000"/>
                  <a:lumOff val="50000"/>
                </a:schemeClr>
              </a:solidFill>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男生</c:v>
                </c:pt>
              </c:strCache>
            </c:strRef>
          </c:tx>
          <c:spPr>
            <a:solidFill>
              <a:srgbClr val="4472C4">
                <a:lumMod val="60000"/>
                <a:lumOff val="40000"/>
              </a:srgbClr>
            </a:solidFill>
            <a:ln>
              <a:noFill/>
            </a:ln>
            <a:effectLst>
              <a:outerShdw blurRad="76200" dir="18900000" sy="23000" kx="-1200000" algn="bl" rotWithShape="0">
                <a:prstClr val="black">
                  <a:alpha val="10000"/>
                </a:prstClr>
              </a:outerShdw>
            </a:effectLst>
          </c:spPr>
          <c:invertIfNegative val="0"/>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1724</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1712</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0">
                  <c:v>2020年</c:v>
                </c:pt>
                <c:pt idx="1">
                  <c:v>2021年</c:v>
                </c:pt>
              </c:strCache>
            </c:strRef>
          </c:cat>
          <c:val>
            <c:numRef>
              <c:extLst>
                <c:ext xmlns:c15="http://schemas.microsoft.com/office/drawing/2012/chart" uri="{02D57815-91ED-43cb-92C2-25804820EDAC}">
                  <c15:fullRef>
                    <c15:sqref>Sheet1!$B$2:$B$5</c15:sqref>
                  </c15:fullRef>
                </c:ext>
              </c:extLst>
              <c:f>Sheet1!$B$2:$B$3</c:f>
              <c:numCache>
                <c:formatCode>General</c:formatCode>
                <c:ptCount val="2"/>
                <c:pt idx="0">
                  <c:v>1656</c:v>
                </c:pt>
                <c:pt idx="1">
                  <c:v>1628</c:v>
                </c:pt>
              </c:numCache>
            </c:numRef>
          </c:val>
        </c:ser>
        <c:ser>
          <c:idx val="1"/>
          <c:order val="1"/>
          <c:tx>
            <c:strRef>
              <c:f>Sheet1!$C$1</c:f>
              <c:strCache>
                <c:ptCount val="1"/>
                <c:pt idx="0">
                  <c:v>女生</c:v>
                </c:pt>
              </c:strCache>
            </c:strRef>
          </c:tx>
          <c:spPr>
            <a:solidFill>
              <a:srgbClr val="ED7D31">
                <a:lumMod val="60000"/>
                <a:lumOff val="40000"/>
              </a:srgbClr>
            </a:solidFill>
            <a:ln>
              <a:noFill/>
            </a:ln>
            <a:effectLst>
              <a:outerShdw blurRad="76200" dir="18900000" sy="23000" kx="-1200000" algn="bl" rotWithShape="0">
                <a:prstClr val="black">
                  <a:alpha val="10000"/>
                </a:prstClr>
              </a:outerShdw>
            </a:effectLst>
          </c:spPr>
          <c:invertIfNegative val="0"/>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1472</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1316</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xmlns:c15="http://schemas.microsoft.com/office/drawing/2012/chart" uri="{02D57815-91ED-43cb-92C2-25804820EDAC}">
                  <c15:fullRef>
                    <c15:sqref>Sheet1!$A$2:$A$5</c15:sqref>
                  </c15:fullRef>
                </c:ext>
              </c:extLst>
              <c:f>Sheet1!$A$2:$A$3</c:f>
              <c:strCache>
                <c:ptCount val="2"/>
                <c:pt idx="0">
                  <c:v>2020年</c:v>
                </c:pt>
                <c:pt idx="1">
                  <c:v>2021年</c:v>
                </c:pt>
              </c:strCache>
            </c:strRef>
          </c:cat>
          <c:val>
            <c:numRef>
              <c:extLst>
                <c:ext xmlns:c15="http://schemas.microsoft.com/office/drawing/2012/chart" uri="{02D57815-91ED-43cb-92C2-25804820EDAC}">
                  <c15:fullRef>
                    <c15:sqref>Sheet1!$C$2:$C$5</c15:sqref>
                  </c15:fullRef>
                </c:ext>
              </c:extLst>
              <c:f>Sheet1!$C$2:$C$3</c:f>
              <c:numCache>
                <c:formatCode>General</c:formatCode>
                <c:ptCount val="2"/>
                <c:pt idx="0">
                  <c:v>1415</c:v>
                </c:pt>
                <c:pt idx="1">
                  <c:v>1246</c:v>
                </c:pt>
              </c:numCache>
            </c:numRef>
          </c:val>
        </c:ser>
        <c:ser>
          <c:idx val="2"/>
          <c:order val="2"/>
          <c:tx>
            <c:strRef>
              <c:f>Sheet1!$D$1</c:f>
              <c:strCache>
                <c:ptCount val="1"/>
                <c:pt idx="0">
                  <c:v/>
                </c:pt>
              </c:strCache>
            </c:strRef>
          </c:tx>
          <c:spPr>
            <a:blipFill rotWithShape="1">
              <a:blip xmlns:r="http://schemas.openxmlformats.org/officeDocument/2006/relationships" r:embed="rId3"/>
              <a:stretch>
                <a:fillRect/>
              </a:stretch>
            </a:blipFill>
            <a:ln>
              <a:noFill/>
            </a:ln>
            <a:effectLst>
              <a:outerShdw blurRad="76200" dir="18900000" sy="23000" kx="-1200000" algn="bl" rotWithShape="0">
                <a:prstClr val="black">
                  <a:alpha val="10000"/>
                </a:prstClr>
              </a:outerShdw>
            </a:effectLst>
          </c:spPr>
          <c:invertIfNegative val="0"/>
          <c:dLbls>
            <c:delete val="1"/>
          </c:dLbls>
          <c:cat>
            <c:strRef>
              <c:extLst>
                <c:ext xmlns:c15="http://schemas.microsoft.com/office/drawing/2012/chart" uri="{02D57815-91ED-43cb-92C2-25804820EDAC}">
                  <c15:fullRef>
                    <c15:sqref>Sheet1!$A$2:$A$5</c15:sqref>
                  </c15:fullRef>
                </c:ext>
              </c:extLst>
              <c:f>Sheet1!$A$2:$A$3</c:f>
              <c:strCache>
                <c:ptCount val="2"/>
                <c:pt idx="0">
                  <c:v>2020年</c:v>
                </c:pt>
                <c:pt idx="1">
                  <c:v>2021年</c:v>
                </c:pt>
              </c:strCache>
            </c:strRef>
          </c:cat>
          <c:val>
            <c:numRef>
              <c:extLst>
                <c:ext xmlns:c15="http://schemas.microsoft.com/office/drawing/2012/chart" uri="{02D57815-91ED-43cb-92C2-25804820EDAC}">
                  <c15:fullRef>
                    <c15:sqref>Sheet1!$D$2:$D$5</c15:sqref>
                  </c15:fullRef>
                </c:ext>
              </c:extLst>
              <c:f>Sheet1!$D$2:$D$3</c:f>
              <c:numCache>
                <c:formatCode>General</c:formatCode>
                <c:ptCount val="2"/>
              </c:numCache>
            </c:numRef>
          </c:val>
        </c:ser>
        <c:dLbls>
          <c:showLegendKey val="0"/>
          <c:showVal val="0"/>
          <c:showCatName val="0"/>
          <c:showSerName val="0"/>
          <c:showPercent val="0"/>
          <c:showBubbleSize val="0"/>
        </c:dLbls>
        <c:gapWidth val="500"/>
        <c:overlap val="-40"/>
        <c:axId val="145832960"/>
        <c:axId val="145879808"/>
      </c:barChart>
      <c:catAx>
        <c:axId val="14583296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rgbClr val="91908C"/>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45879808"/>
        <c:crosses val="autoZero"/>
        <c:auto val="1"/>
        <c:lblAlgn val="ctr"/>
        <c:lblOffset val="100"/>
        <c:noMultiLvlLbl val="0"/>
      </c:catAx>
      <c:valAx>
        <c:axId val="145879808"/>
        <c:scaling>
          <c:orientation val="minMax"/>
          <c:max val="2500"/>
        </c:scaling>
        <c:delete val="0"/>
        <c:axPos val="l"/>
        <c:majorGridlines>
          <c:spPr>
            <a:ln w="3175" cap="flat" cmpd="sng" algn="ctr">
              <a:solidFill>
                <a:srgbClr val="EAEAEA"/>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tx1">
                    <a:lumMod val="50000"/>
                    <a:lumOff val="50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4583296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91908C"/>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rgbClr val="EAEAEA"/>
      </a:solidFill>
      <a:prstDash val="solid"/>
      <a:round/>
    </a:ln>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79</Pages>
  <Words>6684</Words>
  <Characters>38100</Characters>
  <Lines>317</Lines>
  <Paragraphs>89</Paragraphs>
  <TotalTime>0</TotalTime>
  <ScaleCrop>false</ScaleCrop>
  <LinksUpToDate>false</LinksUpToDate>
  <CharactersWithSpaces>44695</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2021-11-03T06:58:00Z</dcterms:created>
  <dc:creator>Administrator</dc:creator>
  <cp:lastModifiedBy>Administrator</cp:lastModifiedBy>
  <cp:lastPrinted>2021-11-04T07:10:00Z</cp:lastPrinted>
  <dcterms:modified xsi:type="dcterms:W3CDTF">2021-11-26T00:42:34Z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y fmtid="{D5CDD505-2E9C-101B-9397-08002B2CF9AE}" pid="3" name="ICV">
    <vt:lpwstr>8CA5E9BAD251493CBA709BA5EE6E7B38</vt:lpwstr>
  </property>
</Properties>
</file>