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7"/>
        <w:ind w:firstLine="480"/>
        <w:rPr>
          <w:lang w:val="zh-CN"/>
        </w:rPr>
      </w:pPr>
    </w:p>
    <w:p>
      <w:pPr>
        <w:ind w:firstLine="480"/>
        <w:rPr>
          <w:rFonts w:hint="eastAsia"/>
          <w:lang w:val="zh-CN"/>
        </w:rPr>
      </w:pPr>
    </w:p>
    <w:p>
      <w:pPr>
        <w:ind w:firstLine="0" w:firstLineChars="0"/>
        <w:jc w:val="center"/>
        <w:rPr>
          <w:rFonts w:hint="eastAsia" w:ascii="黑体" w:hAnsi="宋体" w:eastAsia="黑体"/>
          <w:b/>
          <w:sz w:val="36"/>
          <w:szCs w:val="36"/>
        </w:rPr>
      </w:pPr>
    </w:p>
    <w:p>
      <w:pPr>
        <w:ind w:firstLine="0" w:firstLineChars="0"/>
        <w:jc w:val="center"/>
        <w:rPr>
          <w:rFonts w:hint="eastAsia" w:ascii="黑体" w:hAnsi="宋体" w:eastAsia="黑体"/>
          <w:b/>
          <w:sz w:val="36"/>
          <w:szCs w:val="36"/>
        </w:rPr>
      </w:pPr>
    </w:p>
    <w:p>
      <w:pPr>
        <w:ind w:firstLine="0" w:firstLineChars="0"/>
        <w:jc w:val="center"/>
        <w:rPr>
          <w:rFonts w:hint="eastAsia" w:ascii="黑体" w:hAnsi="宋体" w:eastAsia="黑体"/>
          <w:b/>
          <w:sz w:val="36"/>
          <w:szCs w:val="36"/>
        </w:rPr>
      </w:pPr>
    </w:p>
    <w:p>
      <w:pPr>
        <w:ind w:firstLine="0" w:firstLineChars="0"/>
        <w:jc w:val="center"/>
        <w:rPr>
          <w:rFonts w:hint="eastAsia" w:ascii="黑体" w:hAnsi="宋体" w:eastAsia="黑体"/>
          <w:b/>
          <w:sz w:val="36"/>
          <w:szCs w:val="36"/>
        </w:rPr>
      </w:pPr>
    </w:p>
    <w:p>
      <w:pPr>
        <w:ind w:firstLine="0" w:firstLineChars="0"/>
        <w:jc w:val="center"/>
        <w:rPr>
          <w:rFonts w:hint="eastAsia" w:ascii="黑体" w:hAnsi="宋体" w:eastAsia="黑体"/>
          <w:b/>
          <w:sz w:val="36"/>
          <w:szCs w:val="36"/>
        </w:rPr>
      </w:pPr>
    </w:p>
    <w:p>
      <w:pPr>
        <w:ind w:firstLine="0" w:firstLineChars="0"/>
        <w:jc w:val="center"/>
        <w:rPr>
          <w:rFonts w:hint="eastAsia" w:ascii="黑体" w:hAnsi="宋体" w:eastAsia="黑体"/>
          <w:b/>
          <w:sz w:val="52"/>
          <w:szCs w:val="52"/>
        </w:rPr>
      </w:pPr>
      <w:r>
        <w:rPr>
          <w:rFonts w:hint="eastAsia" w:ascii="黑体" w:hAnsi="宋体" w:eastAsia="黑体"/>
          <w:b/>
          <w:sz w:val="52"/>
          <w:szCs w:val="52"/>
        </w:rPr>
        <w:t>揭阳捷和职业技术学校</w:t>
      </w:r>
    </w:p>
    <w:p>
      <w:pPr>
        <w:ind w:firstLine="0" w:firstLineChars="0"/>
        <w:jc w:val="center"/>
        <w:rPr>
          <w:rFonts w:hint="eastAsia" w:ascii="黑体" w:hAnsi="宋体" w:eastAsia="黑体"/>
          <w:b/>
          <w:sz w:val="52"/>
          <w:szCs w:val="52"/>
        </w:rPr>
      </w:pPr>
      <w:r>
        <w:rPr>
          <w:rFonts w:hint="eastAsia" w:ascii="黑体" w:hAnsi="宋体" w:eastAsia="黑体"/>
          <w:b/>
          <w:sz w:val="52"/>
          <w:szCs w:val="52"/>
        </w:rPr>
        <w:t>中等职业教育人才培养质量年度报告</w:t>
      </w:r>
    </w:p>
    <w:p>
      <w:pPr>
        <w:ind w:firstLine="0" w:firstLineChars="0"/>
        <w:jc w:val="center"/>
        <w:rPr>
          <w:rFonts w:ascii="黑体" w:hAnsi="宋体" w:eastAsia="黑体"/>
          <w:b/>
          <w:sz w:val="36"/>
          <w:szCs w:val="36"/>
        </w:rPr>
      </w:pPr>
      <w:r>
        <w:rPr>
          <w:rFonts w:hint="eastAsia" w:ascii="黑体" w:hAnsi="宋体" w:eastAsia="黑体"/>
          <w:b/>
          <w:sz w:val="36"/>
          <w:szCs w:val="36"/>
        </w:rPr>
        <w:t>（2019年）</w:t>
      </w:r>
    </w:p>
    <w:p>
      <w:pPr>
        <w:ind w:firstLine="0" w:firstLineChars="0"/>
        <w:rPr>
          <w:rFonts w:hint="eastAsia"/>
          <w:lang w:val="zh-CN"/>
        </w:rPr>
      </w:pPr>
    </w:p>
    <w:p>
      <w:pPr>
        <w:ind w:firstLine="0" w:firstLineChars="0"/>
        <w:rPr>
          <w:rFonts w:hint="eastAsia"/>
          <w:lang w:val="zh-CN"/>
        </w:rPr>
      </w:pPr>
    </w:p>
    <w:p>
      <w:pPr>
        <w:ind w:firstLine="0" w:firstLineChars="0"/>
        <w:rPr>
          <w:rFonts w:hint="eastAsia"/>
          <w:lang w:val="zh-CN"/>
        </w:rPr>
      </w:pPr>
    </w:p>
    <w:p>
      <w:pPr>
        <w:ind w:firstLine="0" w:firstLineChars="0"/>
        <w:rPr>
          <w:rFonts w:hint="eastAsia"/>
          <w:lang w:val="zh-CN"/>
        </w:rPr>
      </w:pPr>
    </w:p>
    <w:p>
      <w:pPr>
        <w:ind w:firstLine="0" w:firstLineChars="0"/>
        <w:rPr>
          <w:rFonts w:hint="eastAsia"/>
          <w:lang w:val="zh-CN"/>
        </w:rPr>
      </w:pPr>
    </w:p>
    <w:p>
      <w:pPr>
        <w:ind w:firstLine="0" w:firstLineChars="0"/>
        <w:rPr>
          <w:rFonts w:hint="eastAsia"/>
          <w:lang w:val="zh-CN"/>
        </w:rPr>
      </w:pPr>
    </w:p>
    <w:p>
      <w:pPr>
        <w:ind w:firstLine="0" w:firstLineChars="0"/>
        <w:rPr>
          <w:rFonts w:hint="eastAsia"/>
          <w:lang w:val="zh-CN"/>
        </w:rPr>
      </w:pPr>
    </w:p>
    <w:p>
      <w:pPr>
        <w:ind w:firstLine="0" w:firstLineChars="0"/>
        <w:rPr>
          <w:rFonts w:hint="eastAsia"/>
          <w:lang w:val="zh-CN"/>
        </w:rPr>
      </w:pPr>
    </w:p>
    <w:p>
      <w:pPr>
        <w:ind w:firstLine="0" w:firstLineChars="0"/>
        <w:rPr>
          <w:rFonts w:hint="eastAsia"/>
          <w:lang w:val="zh-CN"/>
        </w:rPr>
      </w:pPr>
    </w:p>
    <w:p>
      <w:pPr>
        <w:ind w:firstLine="0" w:firstLineChars="0"/>
        <w:rPr>
          <w:rFonts w:hint="eastAsia"/>
          <w:lang w:val="zh-CN"/>
        </w:rPr>
      </w:pPr>
    </w:p>
    <w:p>
      <w:pPr>
        <w:ind w:firstLine="0" w:firstLineChars="0"/>
        <w:rPr>
          <w:rFonts w:hint="eastAsia"/>
          <w:lang w:val="zh-CN"/>
        </w:rPr>
      </w:pPr>
    </w:p>
    <w:p>
      <w:pPr>
        <w:ind w:firstLine="0" w:firstLineChars="0"/>
        <w:jc w:val="center"/>
        <w:rPr>
          <w:rFonts w:hint="eastAsia" w:ascii="黑体" w:hAnsi="黑体" w:eastAsia="黑体"/>
          <w:sz w:val="32"/>
          <w:szCs w:val="32"/>
          <w:lang w:val="zh-CN"/>
        </w:rPr>
      </w:pPr>
      <w:r>
        <w:rPr>
          <w:rFonts w:ascii="黑体" w:hAnsi="黑体" w:eastAsia="黑体"/>
          <w:sz w:val="32"/>
          <w:szCs w:val="32"/>
          <w:lang w:val="zh-CN"/>
        </w:rPr>
        <w:t>揭阳捷和职业技术学校</w:t>
      </w:r>
    </w:p>
    <w:p>
      <w:pPr>
        <w:ind w:firstLine="0" w:firstLineChars="0"/>
        <w:jc w:val="center"/>
        <w:rPr>
          <w:rFonts w:ascii="黑体" w:hAnsi="黑体" w:eastAsia="黑体"/>
          <w:sz w:val="32"/>
          <w:szCs w:val="32"/>
          <w:lang w:val="zh-CN"/>
        </w:rPr>
      </w:pPr>
      <w:r>
        <w:rPr>
          <w:rFonts w:hint="eastAsia" w:ascii="黑体" w:hAnsi="黑体" w:eastAsia="黑体"/>
          <w:sz w:val="32"/>
          <w:szCs w:val="32"/>
          <w:lang w:val="zh-CN"/>
        </w:rPr>
        <w:t>2020.01.09</w:t>
      </w:r>
    </w:p>
    <w:sdt>
      <w:sdtPr>
        <w:rPr>
          <w:lang w:val="zh-CN"/>
        </w:rPr>
        <w:id w:val="-1387415493"/>
        <w:docPartObj>
          <w:docPartGallery w:val="Table of Contents"/>
          <w:docPartUnique/>
        </w:docPartObj>
      </w:sdtPr>
      <w:sdtEndPr>
        <w:rPr>
          <w:rFonts w:ascii="Times New Roman" w:hAnsi="Times New Roman" w:eastAsia="宋体" w:cs="Times New Roman"/>
          <w:color w:val="auto"/>
          <w:kern w:val="2"/>
          <w:sz w:val="24"/>
          <w:szCs w:val="24"/>
          <w:lang w:val="zh-CN"/>
        </w:rPr>
      </w:sdtEndPr>
      <w:sdtContent>
        <w:p>
          <w:pPr>
            <w:pStyle w:val="27"/>
            <w:ind w:firstLine="480"/>
            <w:rPr>
              <w:lang w:val="zh-CN"/>
            </w:rPr>
          </w:pPr>
          <w:r>
            <w:rPr>
              <w:color w:val="auto"/>
              <w:lang w:val="zh-CN"/>
            </w:rPr>
            <w:t>目录</w:t>
          </w:r>
        </w:p>
        <w:p>
          <w:pPr>
            <w:pStyle w:val="9"/>
            <w:tabs>
              <w:tab w:val="right" w:leader="dot" w:pos="9060"/>
            </w:tabs>
            <w:ind w:firstLine="480"/>
          </w:pPr>
          <w:r>
            <w:fldChar w:fldCharType="begin"/>
          </w:r>
          <w:r>
            <w:instrText xml:space="preserve"> TOC \o "1-3" \h \z \u </w:instrText>
          </w:r>
          <w:r>
            <w:fldChar w:fldCharType="separate"/>
          </w:r>
          <w:r>
            <w:fldChar w:fldCharType="begin"/>
          </w:r>
          <w:r>
            <w:instrText xml:space="preserve"> HYPERLINK \l "_Toc29995100" </w:instrText>
          </w:r>
          <w:r>
            <w:fldChar w:fldCharType="separate"/>
          </w:r>
          <w:r>
            <w:rPr>
              <w:rStyle w:val="18"/>
              <w:color w:val="auto"/>
            </w:rPr>
            <w:t>1.</w:t>
          </w:r>
          <w:r>
            <w:rPr>
              <w:rStyle w:val="18"/>
              <w:rFonts w:hint="eastAsia"/>
              <w:color w:val="auto"/>
            </w:rPr>
            <w:t>学校情况</w:t>
          </w:r>
          <w:r>
            <w:tab/>
          </w:r>
          <w:r>
            <w:fldChar w:fldCharType="begin"/>
          </w:r>
          <w:r>
            <w:instrText xml:space="preserve"> PAGEREF _Toc29995100 \h </w:instrText>
          </w:r>
          <w:r>
            <w:fldChar w:fldCharType="separate"/>
          </w:r>
          <w:r>
            <w:t>1</w:t>
          </w:r>
          <w:r>
            <w:fldChar w:fldCharType="end"/>
          </w:r>
          <w:r>
            <w:fldChar w:fldCharType="end"/>
          </w:r>
        </w:p>
        <w:p>
          <w:pPr>
            <w:pStyle w:val="12"/>
            <w:tabs>
              <w:tab w:val="right" w:leader="dot" w:pos="9060"/>
            </w:tabs>
            <w:ind w:left="480" w:firstLine="480"/>
          </w:pPr>
          <w:r>
            <w:fldChar w:fldCharType="begin"/>
          </w:r>
          <w:r>
            <w:instrText xml:space="preserve"> HYPERLINK \l "_Toc29995101" </w:instrText>
          </w:r>
          <w:r>
            <w:fldChar w:fldCharType="separate"/>
          </w:r>
          <w:r>
            <w:rPr>
              <w:rStyle w:val="18"/>
              <w:color w:val="auto"/>
            </w:rPr>
            <w:t>1.1</w:t>
          </w:r>
          <w:r>
            <w:rPr>
              <w:rStyle w:val="18"/>
              <w:rFonts w:hint="eastAsia"/>
              <w:color w:val="auto"/>
            </w:rPr>
            <w:t>学校概况</w:t>
          </w:r>
          <w:r>
            <w:tab/>
          </w:r>
          <w:r>
            <w:fldChar w:fldCharType="begin"/>
          </w:r>
          <w:r>
            <w:instrText xml:space="preserve"> PAGEREF _Toc29995101 \h </w:instrText>
          </w:r>
          <w:r>
            <w:fldChar w:fldCharType="separate"/>
          </w:r>
          <w:r>
            <w:t>1</w:t>
          </w:r>
          <w:r>
            <w:fldChar w:fldCharType="end"/>
          </w:r>
          <w:r>
            <w:fldChar w:fldCharType="end"/>
          </w:r>
        </w:p>
        <w:p>
          <w:pPr>
            <w:pStyle w:val="12"/>
            <w:tabs>
              <w:tab w:val="right" w:leader="dot" w:pos="9060"/>
            </w:tabs>
            <w:ind w:left="480" w:firstLine="480"/>
          </w:pPr>
          <w:r>
            <w:fldChar w:fldCharType="begin"/>
          </w:r>
          <w:r>
            <w:instrText xml:space="preserve"> HYPERLINK \l "_Toc29995102" </w:instrText>
          </w:r>
          <w:r>
            <w:fldChar w:fldCharType="separate"/>
          </w:r>
          <w:r>
            <w:rPr>
              <w:rStyle w:val="18"/>
              <w:color w:val="auto"/>
            </w:rPr>
            <w:t>1.2</w:t>
          </w:r>
          <w:r>
            <w:rPr>
              <w:rStyle w:val="18"/>
              <w:rFonts w:hint="eastAsia"/>
              <w:color w:val="auto"/>
            </w:rPr>
            <w:t>学生情况</w:t>
          </w:r>
          <w:r>
            <w:tab/>
          </w:r>
          <w:r>
            <w:fldChar w:fldCharType="begin"/>
          </w:r>
          <w:r>
            <w:instrText xml:space="preserve"> PAGEREF _Toc29995102 \h </w:instrText>
          </w:r>
          <w:r>
            <w:fldChar w:fldCharType="separate"/>
          </w:r>
          <w:r>
            <w:t>4</w:t>
          </w:r>
          <w:r>
            <w:fldChar w:fldCharType="end"/>
          </w:r>
          <w:r>
            <w:fldChar w:fldCharType="end"/>
          </w:r>
        </w:p>
        <w:p>
          <w:pPr>
            <w:pStyle w:val="12"/>
            <w:tabs>
              <w:tab w:val="right" w:leader="dot" w:pos="9060"/>
            </w:tabs>
            <w:ind w:left="480" w:firstLine="480"/>
          </w:pPr>
          <w:r>
            <w:fldChar w:fldCharType="begin"/>
          </w:r>
          <w:r>
            <w:instrText xml:space="preserve"> HYPERLINK \l "_Toc29995103" </w:instrText>
          </w:r>
          <w:r>
            <w:fldChar w:fldCharType="separate"/>
          </w:r>
          <w:r>
            <w:rPr>
              <w:rStyle w:val="18"/>
              <w:color w:val="auto"/>
            </w:rPr>
            <w:t>1.3</w:t>
          </w:r>
          <w:r>
            <w:rPr>
              <w:rStyle w:val="18"/>
              <w:rFonts w:hint="eastAsia"/>
              <w:color w:val="auto"/>
            </w:rPr>
            <w:t>教师队伍</w:t>
          </w:r>
          <w:r>
            <w:tab/>
          </w:r>
          <w:r>
            <w:fldChar w:fldCharType="begin"/>
          </w:r>
          <w:r>
            <w:instrText xml:space="preserve"> PAGEREF _Toc29995103 \h </w:instrText>
          </w:r>
          <w:r>
            <w:fldChar w:fldCharType="separate"/>
          </w:r>
          <w:r>
            <w:t>6</w:t>
          </w:r>
          <w:r>
            <w:fldChar w:fldCharType="end"/>
          </w:r>
          <w:r>
            <w:fldChar w:fldCharType="end"/>
          </w:r>
        </w:p>
        <w:p>
          <w:pPr>
            <w:pStyle w:val="12"/>
            <w:tabs>
              <w:tab w:val="right" w:leader="dot" w:pos="9060"/>
            </w:tabs>
            <w:ind w:left="480" w:firstLine="480"/>
          </w:pPr>
          <w:r>
            <w:fldChar w:fldCharType="begin"/>
          </w:r>
          <w:r>
            <w:instrText xml:space="preserve"> HYPERLINK \l "_Toc29995105" </w:instrText>
          </w:r>
          <w:r>
            <w:fldChar w:fldCharType="separate"/>
          </w:r>
          <w:r>
            <w:rPr>
              <w:rStyle w:val="18"/>
              <w:color w:val="auto"/>
            </w:rPr>
            <w:t>1.4</w:t>
          </w:r>
          <w:r>
            <w:rPr>
              <w:rStyle w:val="18"/>
              <w:rFonts w:hint="eastAsia"/>
              <w:color w:val="auto"/>
            </w:rPr>
            <w:t>设施设备</w:t>
          </w:r>
          <w:r>
            <w:tab/>
          </w:r>
          <w:r>
            <w:fldChar w:fldCharType="begin"/>
          </w:r>
          <w:r>
            <w:instrText xml:space="preserve"> PAGEREF _Toc29995105 \h </w:instrText>
          </w:r>
          <w:r>
            <w:fldChar w:fldCharType="separate"/>
          </w:r>
          <w:r>
            <w:t>6</w:t>
          </w:r>
          <w:r>
            <w:fldChar w:fldCharType="end"/>
          </w:r>
          <w:r>
            <w:fldChar w:fldCharType="end"/>
          </w:r>
        </w:p>
        <w:p>
          <w:pPr>
            <w:pStyle w:val="5"/>
            <w:tabs>
              <w:tab w:val="right" w:leader="dot" w:pos="9060"/>
            </w:tabs>
            <w:ind w:left="960" w:firstLine="480"/>
          </w:pPr>
          <w:r>
            <w:fldChar w:fldCharType="begin"/>
          </w:r>
          <w:r>
            <w:instrText xml:space="preserve"> HYPERLINK \l "_Toc29995106" </w:instrText>
          </w:r>
          <w:r>
            <w:fldChar w:fldCharType="separate"/>
          </w:r>
          <w:r>
            <w:rPr>
              <w:rStyle w:val="18"/>
              <w:color w:val="auto"/>
            </w:rPr>
            <w:t>1.4.1</w:t>
          </w:r>
          <w:r>
            <w:rPr>
              <w:rStyle w:val="18"/>
              <w:rFonts w:hint="eastAsia"/>
              <w:color w:val="auto"/>
            </w:rPr>
            <w:t>实训基地概况</w:t>
          </w:r>
          <w:r>
            <w:tab/>
          </w:r>
          <w:r>
            <w:fldChar w:fldCharType="begin"/>
          </w:r>
          <w:r>
            <w:instrText xml:space="preserve"> PAGEREF _Toc29995106 \h </w:instrText>
          </w:r>
          <w:r>
            <w:fldChar w:fldCharType="separate"/>
          </w:r>
          <w:r>
            <w:t>6</w:t>
          </w:r>
          <w:r>
            <w:fldChar w:fldCharType="end"/>
          </w:r>
          <w:r>
            <w:fldChar w:fldCharType="end"/>
          </w:r>
        </w:p>
        <w:p>
          <w:pPr>
            <w:pStyle w:val="5"/>
            <w:tabs>
              <w:tab w:val="right" w:leader="dot" w:pos="9060"/>
            </w:tabs>
            <w:ind w:left="960" w:firstLine="480"/>
          </w:pPr>
          <w:r>
            <w:fldChar w:fldCharType="begin"/>
          </w:r>
          <w:r>
            <w:instrText xml:space="preserve"> HYPERLINK \l "_Toc29995107" </w:instrText>
          </w:r>
          <w:r>
            <w:fldChar w:fldCharType="separate"/>
          </w:r>
          <w:r>
            <w:rPr>
              <w:rStyle w:val="18"/>
              <w:color w:val="auto"/>
            </w:rPr>
            <w:t>1.4.2</w:t>
          </w:r>
          <w:r>
            <w:rPr>
              <w:rStyle w:val="18"/>
              <w:rFonts w:hint="eastAsia"/>
              <w:color w:val="auto"/>
            </w:rPr>
            <w:t>实践教学</w:t>
          </w:r>
          <w:r>
            <w:tab/>
          </w:r>
          <w:r>
            <w:fldChar w:fldCharType="begin"/>
          </w:r>
          <w:r>
            <w:instrText xml:space="preserve"> PAGEREF _Toc29995107 \h </w:instrText>
          </w:r>
          <w:r>
            <w:fldChar w:fldCharType="separate"/>
          </w:r>
          <w:r>
            <w:t>8</w:t>
          </w:r>
          <w:r>
            <w:fldChar w:fldCharType="end"/>
          </w:r>
          <w:r>
            <w:fldChar w:fldCharType="end"/>
          </w:r>
        </w:p>
        <w:p>
          <w:pPr>
            <w:pStyle w:val="5"/>
            <w:tabs>
              <w:tab w:val="right" w:leader="dot" w:pos="9060"/>
            </w:tabs>
            <w:ind w:left="960" w:firstLine="480"/>
          </w:pPr>
          <w:r>
            <w:fldChar w:fldCharType="begin"/>
          </w:r>
          <w:r>
            <w:instrText xml:space="preserve"> HYPERLINK \l "_Toc29995111" </w:instrText>
          </w:r>
          <w:r>
            <w:fldChar w:fldCharType="separate"/>
          </w:r>
          <w:r>
            <w:rPr>
              <w:rStyle w:val="18"/>
              <w:color w:val="auto"/>
            </w:rPr>
            <w:t>1.4.3</w:t>
          </w:r>
          <w:r>
            <w:rPr>
              <w:rStyle w:val="18"/>
              <w:rFonts w:hint="eastAsia"/>
              <w:color w:val="auto"/>
            </w:rPr>
            <w:t>图书馆及藏书</w:t>
          </w:r>
          <w:r>
            <w:tab/>
          </w:r>
          <w:r>
            <w:fldChar w:fldCharType="begin"/>
          </w:r>
          <w:r>
            <w:instrText xml:space="preserve"> PAGEREF _Toc29995111 \h </w:instrText>
          </w:r>
          <w:r>
            <w:fldChar w:fldCharType="separate"/>
          </w:r>
          <w:r>
            <w:t>11</w:t>
          </w:r>
          <w:r>
            <w:fldChar w:fldCharType="end"/>
          </w:r>
          <w:r>
            <w:fldChar w:fldCharType="end"/>
          </w:r>
        </w:p>
        <w:p>
          <w:pPr>
            <w:pStyle w:val="12"/>
            <w:tabs>
              <w:tab w:val="right" w:leader="dot" w:pos="9060"/>
            </w:tabs>
            <w:ind w:leftChars="175" w:firstLine="199" w:firstLineChars="83"/>
          </w:pPr>
          <w:r>
            <w:fldChar w:fldCharType="begin"/>
          </w:r>
          <w:r>
            <w:instrText xml:space="preserve"> HYPERLINK \l "_Toc29995112" </w:instrText>
          </w:r>
          <w:r>
            <w:fldChar w:fldCharType="separate"/>
          </w:r>
          <w:r>
            <w:rPr>
              <w:rStyle w:val="18"/>
              <w:color w:val="auto"/>
            </w:rPr>
            <w:t>2.</w:t>
          </w:r>
          <w:r>
            <w:rPr>
              <w:rStyle w:val="18"/>
              <w:rFonts w:hint="eastAsia"/>
              <w:color w:val="auto"/>
            </w:rPr>
            <w:t>学生发展</w:t>
          </w:r>
          <w:r>
            <w:tab/>
          </w:r>
          <w:r>
            <w:fldChar w:fldCharType="begin"/>
          </w:r>
          <w:r>
            <w:instrText xml:space="preserve"> PAGEREF _Toc29995112 \h </w:instrText>
          </w:r>
          <w:r>
            <w:fldChar w:fldCharType="separate"/>
          </w:r>
          <w:r>
            <w:t>11</w:t>
          </w:r>
          <w:r>
            <w:fldChar w:fldCharType="end"/>
          </w:r>
          <w:r>
            <w:fldChar w:fldCharType="end"/>
          </w:r>
        </w:p>
        <w:p>
          <w:pPr>
            <w:pStyle w:val="12"/>
            <w:tabs>
              <w:tab w:val="right" w:leader="dot" w:pos="9060"/>
            </w:tabs>
            <w:ind w:left="480" w:firstLine="480"/>
          </w:pPr>
          <w:r>
            <w:fldChar w:fldCharType="begin"/>
          </w:r>
          <w:r>
            <w:instrText xml:space="preserve"> HYPERLINK \l "_Toc29995113" </w:instrText>
          </w:r>
          <w:r>
            <w:fldChar w:fldCharType="separate"/>
          </w:r>
          <w:r>
            <w:rPr>
              <w:rStyle w:val="18"/>
              <w:color w:val="auto"/>
              <w:kern w:val="0"/>
            </w:rPr>
            <w:t>2.1</w:t>
          </w:r>
          <w:r>
            <w:rPr>
              <w:rStyle w:val="18"/>
              <w:rFonts w:hint="eastAsia"/>
              <w:color w:val="auto"/>
              <w:kern w:val="0"/>
            </w:rPr>
            <w:t>学生素质</w:t>
          </w:r>
          <w:r>
            <w:tab/>
          </w:r>
          <w:r>
            <w:fldChar w:fldCharType="begin"/>
          </w:r>
          <w:r>
            <w:instrText xml:space="preserve"> PAGEREF _Toc29995113 \h </w:instrText>
          </w:r>
          <w:r>
            <w:fldChar w:fldCharType="separate"/>
          </w:r>
          <w:r>
            <w:t>11</w:t>
          </w:r>
          <w:r>
            <w:fldChar w:fldCharType="end"/>
          </w:r>
          <w:r>
            <w:fldChar w:fldCharType="end"/>
          </w:r>
        </w:p>
        <w:p>
          <w:pPr>
            <w:pStyle w:val="12"/>
            <w:tabs>
              <w:tab w:val="right" w:leader="dot" w:pos="9060"/>
            </w:tabs>
            <w:ind w:left="480" w:firstLine="480"/>
          </w:pPr>
          <w:r>
            <w:fldChar w:fldCharType="begin"/>
          </w:r>
          <w:r>
            <w:instrText xml:space="preserve"> HYPERLINK \l "_Toc29995114" </w:instrText>
          </w:r>
          <w:r>
            <w:fldChar w:fldCharType="separate"/>
          </w:r>
          <w:r>
            <w:rPr>
              <w:rStyle w:val="18"/>
              <w:color w:val="auto"/>
              <w:kern w:val="0"/>
            </w:rPr>
            <w:t>2.2</w:t>
          </w:r>
          <w:r>
            <w:rPr>
              <w:rStyle w:val="18"/>
              <w:rFonts w:hint="eastAsia"/>
              <w:color w:val="auto"/>
              <w:kern w:val="0"/>
            </w:rPr>
            <w:t>在校体验</w:t>
          </w:r>
          <w:r>
            <w:tab/>
          </w:r>
          <w:r>
            <w:fldChar w:fldCharType="begin"/>
          </w:r>
          <w:r>
            <w:instrText xml:space="preserve"> PAGEREF _Toc29995114 \h </w:instrText>
          </w:r>
          <w:r>
            <w:fldChar w:fldCharType="separate"/>
          </w:r>
          <w:r>
            <w:t>12</w:t>
          </w:r>
          <w:r>
            <w:fldChar w:fldCharType="end"/>
          </w:r>
          <w:r>
            <w:fldChar w:fldCharType="end"/>
          </w:r>
        </w:p>
        <w:p>
          <w:pPr>
            <w:pStyle w:val="5"/>
            <w:tabs>
              <w:tab w:val="right" w:leader="dot" w:pos="9060"/>
            </w:tabs>
            <w:ind w:left="960" w:firstLine="480"/>
          </w:pPr>
          <w:r>
            <w:fldChar w:fldCharType="begin"/>
          </w:r>
          <w:r>
            <w:instrText xml:space="preserve"> HYPERLINK \l "_Toc29995115" </w:instrText>
          </w:r>
          <w:r>
            <w:fldChar w:fldCharType="separate"/>
          </w:r>
          <w:r>
            <w:rPr>
              <w:rStyle w:val="18"/>
              <w:color w:val="auto"/>
            </w:rPr>
            <w:t>2.2.1</w:t>
          </w:r>
          <w:r>
            <w:rPr>
              <w:rStyle w:val="18"/>
              <w:rFonts w:hint="eastAsia"/>
              <w:color w:val="auto"/>
            </w:rPr>
            <w:t>满意度</w:t>
          </w:r>
          <w:r>
            <w:tab/>
          </w:r>
          <w:r>
            <w:fldChar w:fldCharType="begin"/>
          </w:r>
          <w:r>
            <w:instrText xml:space="preserve"> PAGEREF _Toc29995115 \h </w:instrText>
          </w:r>
          <w:r>
            <w:fldChar w:fldCharType="separate"/>
          </w:r>
          <w:r>
            <w:t>12</w:t>
          </w:r>
          <w:r>
            <w:fldChar w:fldCharType="end"/>
          </w:r>
          <w:r>
            <w:fldChar w:fldCharType="end"/>
          </w:r>
        </w:p>
        <w:p>
          <w:pPr>
            <w:pStyle w:val="5"/>
            <w:tabs>
              <w:tab w:val="right" w:leader="dot" w:pos="9060"/>
            </w:tabs>
            <w:ind w:left="960" w:firstLine="480"/>
          </w:pPr>
          <w:r>
            <w:fldChar w:fldCharType="begin"/>
          </w:r>
          <w:r>
            <w:instrText xml:space="preserve"> HYPERLINK \l "_Toc29995116" </w:instrText>
          </w:r>
          <w:r>
            <w:fldChar w:fldCharType="separate"/>
          </w:r>
          <w:r>
            <w:rPr>
              <w:rStyle w:val="18"/>
              <w:color w:val="auto"/>
            </w:rPr>
            <w:t>2.2.2</w:t>
          </w:r>
          <w:r>
            <w:rPr>
              <w:rStyle w:val="18"/>
              <w:rFonts w:hint="eastAsia"/>
              <w:color w:val="auto"/>
            </w:rPr>
            <w:t>毕业生评价</w:t>
          </w:r>
          <w:r>
            <w:tab/>
          </w:r>
          <w:r>
            <w:fldChar w:fldCharType="begin"/>
          </w:r>
          <w:r>
            <w:instrText xml:space="preserve"> PAGEREF _Toc29995116 \h </w:instrText>
          </w:r>
          <w:r>
            <w:fldChar w:fldCharType="separate"/>
          </w:r>
          <w:r>
            <w:t>13</w:t>
          </w:r>
          <w:r>
            <w:fldChar w:fldCharType="end"/>
          </w:r>
          <w:r>
            <w:fldChar w:fldCharType="end"/>
          </w:r>
        </w:p>
        <w:p>
          <w:pPr>
            <w:pStyle w:val="12"/>
            <w:tabs>
              <w:tab w:val="right" w:leader="dot" w:pos="9060"/>
            </w:tabs>
            <w:ind w:left="480" w:firstLine="480"/>
          </w:pPr>
          <w:r>
            <w:fldChar w:fldCharType="begin"/>
          </w:r>
          <w:r>
            <w:instrText xml:space="preserve"> HYPERLINK \l "_Toc29995117" </w:instrText>
          </w:r>
          <w:r>
            <w:fldChar w:fldCharType="separate"/>
          </w:r>
          <w:r>
            <w:rPr>
              <w:rStyle w:val="18"/>
              <w:color w:val="auto"/>
            </w:rPr>
            <w:t>2.2.2.1</w:t>
          </w:r>
          <w:r>
            <w:rPr>
              <w:rStyle w:val="18"/>
              <w:rFonts w:hint="eastAsia"/>
              <w:color w:val="auto"/>
            </w:rPr>
            <w:t>毕业生实习指导教师工作状况</w:t>
          </w:r>
          <w:r>
            <w:tab/>
          </w:r>
          <w:r>
            <w:fldChar w:fldCharType="begin"/>
          </w:r>
          <w:r>
            <w:instrText xml:space="preserve"> PAGEREF _Toc29995117 \h </w:instrText>
          </w:r>
          <w:r>
            <w:fldChar w:fldCharType="separate"/>
          </w:r>
          <w:r>
            <w:t>13</w:t>
          </w:r>
          <w:r>
            <w:fldChar w:fldCharType="end"/>
          </w:r>
          <w:r>
            <w:fldChar w:fldCharType="end"/>
          </w:r>
        </w:p>
        <w:p>
          <w:pPr>
            <w:pStyle w:val="5"/>
            <w:tabs>
              <w:tab w:val="right" w:leader="dot" w:pos="9060"/>
            </w:tabs>
            <w:ind w:left="960" w:firstLine="480"/>
          </w:pPr>
          <w:r>
            <w:fldChar w:fldCharType="begin"/>
          </w:r>
          <w:r>
            <w:instrText xml:space="preserve"> HYPERLINK \l "_Toc29995118" </w:instrText>
          </w:r>
          <w:r>
            <w:fldChar w:fldCharType="separate"/>
          </w:r>
          <w:r>
            <w:rPr>
              <w:rStyle w:val="18"/>
              <w:color w:val="auto"/>
            </w:rPr>
            <w:t>2.2.3</w:t>
          </w:r>
          <w:r>
            <w:rPr>
              <w:rStyle w:val="18"/>
              <w:rFonts w:hint="eastAsia"/>
              <w:color w:val="auto"/>
            </w:rPr>
            <w:t>用人单位评价</w:t>
          </w:r>
          <w:r>
            <w:tab/>
          </w:r>
          <w:r>
            <w:fldChar w:fldCharType="begin"/>
          </w:r>
          <w:r>
            <w:instrText xml:space="preserve"> PAGEREF _Toc29995118 \h </w:instrText>
          </w:r>
          <w:r>
            <w:fldChar w:fldCharType="separate"/>
          </w:r>
          <w:r>
            <w:t>13</w:t>
          </w:r>
          <w:r>
            <w:fldChar w:fldCharType="end"/>
          </w:r>
          <w:r>
            <w:fldChar w:fldCharType="end"/>
          </w:r>
        </w:p>
        <w:p>
          <w:pPr>
            <w:pStyle w:val="5"/>
            <w:tabs>
              <w:tab w:val="right" w:leader="dot" w:pos="9060"/>
            </w:tabs>
            <w:ind w:left="960" w:firstLine="480"/>
          </w:pPr>
          <w:r>
            <w:fldChar w:fldCharType="begin"/>
          </w:r>
          <w:r>
            <w:instrText xml:space="preserve"> HYPERLINK \l "_Toc29995121" </w:instrText>
          </w:r>
          <w:r>
            <w:fldChar w:fldCharType="separate"/>
          </w:r>
          <w:r>
            <w:rPr>
              <w:rStyle w:val="18"/>
              <w:color w:val="auto"/>
            </w:rPr>
            <w:t>2.2.4.</w:t>
          </w:r>
          <w:r>
            <w:rPr>
              <w:rStyle w:val="18"/>
              <w:rFonts w:hint="eastAsia"/>
              <w:color w:val="auto"/>
            </w:rPr>
            <w:t>校园文化建设</w:t>
          </w:r>
          <w:r>
            <w:tab/>
          </w:r>
          <w:r>
            <w:fldChar w:fldCharType="begin"/>
          </w:r>
          <w:r>
            <w:instrText xml:space="preserve"> PAGEREF _Toc29995121 \h </w:instrText>
          </w:r>
          <w:r>
            <w:fldChar w:fldCharType="separate"/>
          </w:r>
          <w:r>
            <w:t>13</w:t>
          </w:r>
          <w:r>
            <w:fldChar w:fldCharType="end"/>
          </w:r>
          <w:r>
            <w:fldChar w:fldCharType="end"/>
          </w:r>
        </w:p>
        <w:p>
          <w:pPr>
            <w:pStyle w:val="5"/>
            <w:tabs>
              <w:tab w:val="right" w:leader="dot" w:pos="9060"/>
            </w:tabs>
            <w:ind w:left="960" w:firstLine="480"/>
          </w:pPr>
          <w:r>
            <w:fldChar w:fldCharType="begin"/>
          </w:r>
          <w:r>
            <w:instrText xml:space="preserve"> HYPERLINK \l "_Toc29995122" </w:instrText>
          </w:r>
          <w:r>
            <w:fldChar w:fldCharType="separate"/>
          </w:r>
          <w:r>
            <w:rPr>
              <w:rStyle w:val="18"/>
              <w:color w:val="auto"/>
            </w:rPr>
            <w:t>2.2.5</w:t>
          </w:r>
          <w:r>
            <w:rPr>
              <w:rStyle w:val="18"/>
              <w:rFonts w:hint="eastAsia"/>
              <w:color w:val="auto"/>
            </w:rPr>
            <w:t>文明风采活动</w:t>
          </w:r>
          <w:r>
            <w:tab/>
          </w:r>
          <w:r>
            <w:fldChar w:fldCharType="begin"/>
          </w:r>
          <w:r>
            <w:instrText xml:space="preserve"> PAGEREF _Toc29995122 \h </w:instrText>
          </w:r>
          <w:r>
            <w:fldChar w:fldCharType="separate"/>
          </w:r>
          <w:r>
            <w:t>14</w:t>
          </w:r>
          <w:r>
            <w:fldChar w:fldCharType="end"/>
          </w:r>
          <w:r>
            <w:fldChar w:fldCharType="end"/>
          </w:r>
        </w:p>
        <w:p>
          <w:pPr>
            <w:pStyle w:val="12"/>
            <w:tabs>
              <w:tab w:val="right" w:leader="dot" w:pos="9060"/>
            </w:tabs>
            <w:ind w:left="480" w:firstLine="480"/>
          </w:pPr>
          <w:r>
            <w:fldChar w:fldCharType="begin"/>
          </w:r>
          <w:r>
            <w:instrText xml:space="preserve"> HYPERLINK \l "_Toc29995123" </w:instrText>
          </w:r>
          <w:r>
            <w:fldChar w:fldCharType="separate"/>
          </w:r>
          <w:r>
            <w:rPr>
              <w:rStyle w:val="18"/>
              <w:color w:val="auto"/>
            </w:rPr>
            <w:t>2.3</w:t>
          </w:r>
          <w:r>
            <w:rPr>
              <w:rStyle w:val="18"/>
              <w:rFonts w:hint="eastAsia"/>
              <w:color w:val="auto"/>
            </w:rPr>
            <w:t>资助情况</w:t>
          </w:r>
          <w:r>
            <w:tab/>
          </w:r>
          <w:r>
            <w:fldChar w:fldCharType="begin"/>
          </w:r>
          <w:r>
            <w:instrText xml:space="preserve"> PAGEREF _Toc29995123 \h </w:instrText>
          </w:r>
          <w:r>
            <w:fldChar w:fldCharType="separate"/>
          </w:r>
          <w:r>
            <w:t>21</w:t>
          </w:r>
          <w:r>
            <w:fldChar w:fldCharType="end"/>
          </w:r>
          <w:r>
            <w:fldChar w:fldCharType="end"/>
          </w:r>
        </w:p>
        <w:p>
          <w:pPr>
            <w:pStyle w:val="12"/>
            <w:tabs>
              <w:tab w:val="right" w:leader="dot" w:pos="9060"/>
            </w:tabs>
            <w:ind w:left="480" w:firstLine="480"/>
          </w:pPr>
          <w:r>
            <w:fldChar w:fldCharType="begin"/>
          </w:r>
          <w:r>
            <w:instrText xml:space="preserve"> HYPERLINK \l "_Toc29995124" </w:instrText>
          </w:r>
          <w:r>
            <w:fldChar w:fldCharType="separate"/>
          </w:r>
          <w:r>
            <w:rPr>
              <w:rStyle w:val="18"/>
              <w:color w:val="auto"/>
            </w:rPr>
            <w:t>2.4</w:t>
          </w:r>
          <w:r>
            <w:rPr>
              <w:rStyle w:val="18"/>
              <w:rFonts w:hint="eastAsia"/>
              <w:color w:val="auto"/>
            </w:rPr>
            <w:t>就业质量</w:t>
          </w:r>
          <w:r>
            <w:tab/>
          </w:r>
          <w:r>
            <w:fldChar w:fldCharType="begin"/>
          </w:r>
          <w:r>
            <w:instrText xml:space="preserve"> PAGEREF _Toc29995124 \h </w:instrText>
          </w:r>
          <w:r>
            <w:fldChar w:fldCharType="separate"/>
          </w:r>
          <w:r>
            <w:t>22</w:t>
          </w:r>
          <w:r>
            <w:fldChar w:fldCharType="end"/>
          </w:r>
          <w:r>
            <w:fldChar w:fldCharType="end"/>
          </w:r>
        </w:p>
        <w:p>
          <w:pPr>
            <w:pStyle w:val="12"/>
            <w:tabs>
              <w:tab w:val="right" w:leader="dot" w:pos="9060"/>
            </w:tabs>
            <w:ind w:left="480" w:firstLine="480"/>
          </w:pPr>
          <w:r>
            <w:fldChar w:fldCharType="begin"/>
          </w:r>
          <w:r>
            <w:instrText xml:space="preserve"> HYPERLINK \l "_Toc29995125" </w:instrText>
          </w:r>
          <w:r>
            <w:fldChar w:fldCharType="separate"/>
          </w:r>
          <w:r>
            <w:rPr>
              <w:rStyle w:val="18"/>
              <w:color w:val="auto"/>
            </w:rPr>
            <w:t>2.5</w:t>
          </w:r>
          <w:r>
            <w:rPr>
              <w:rStyle w:val="18"/>
              <w:rFonts w:hint="eastAsia"/>
              <w:color w:val="auto"/>
            </w:rPr>
            <w:t>职业发展</w:t>
          </w:r>
          <w:r>
            <w:tab/>
          </w:r>
          <w:r>
            <w:fldChar w:fldCharType="begin"/>
          </w:r>
          <w:r>
            <w:instrText xml:space="preserve"> PAGEREF _Toc29995125 \h </w:instrText>
          </w:r>
          <w:r>
            <w:fldChar w:fldCharType="separate"/>
          </w:r>
          <w:r>
            <w:t>27</w:t>
          </w:r>
          <w:r>
            <w:fldChar w:fldCharType="end"/>
          </w:r>
          <w:r>
            <w:fldChar w:fldCharType="end"/>
          </w:r>
        </w:p>
        <w:p>
          <w:pPr>
            <w:pStyle w:val="5"/>
            <w:tabs>
              <w:tab w:val="right" w:leader="dot" w:pos="9060"/>
            </w:tabs>
            <w:ind w:left="960" w:firstLine="480"/>
          </w:pPr>
          <w:r>
            <w:fldChar w:fldCharType="begin"/>
          </w:r>
          <w:r>
            <w:instrText xml:space="preserve"> HYPERLINK \l "_Toc29995126" </w:instrText>
          </w:r>
          <w:r>
            <w:fldChar w:fldCharType="separate"/>
          </w:r>
          <w:r>
            <w:rPr>
              <w:rStyle w:val="18"/>
              <w:color w:val="auto"/>
            </w:rPr>
            <w:t>2.5.1</w:t>
          </w:r>
          <w:r>
            <w:rPr>
              <w:rStyle w:val="18"/>
              <w:rFonts w:hint="eastAsia"/>
              <w:color w:val="auto"/>
            </w:rPr>
            <w:t>学习能力</w:t>
          </w:r>
          <w:r>
            <w:tab/>
          </w:r>
          <w:r>
            <w:fldChar w:fldCharType="begin"/>
          </w:r>
          <w:r>
            <w:instrText xml:space="preserve"> PAGEREF _Toc29995126 \h </w:instrText>
          </w:r>
          <w:r>
            <w:fldChar w:fldCharType="separate"/>
          </w:r>
          <w:r>
            <w:t>27</w:t>
          </w:r>
          <w:r>
            <w:fldChar w:fldCharType="end"/>
          </w:r>
          <w:r>
            <w:fldChar w:fldCharType="end"/>
          </w:r>
        </w:p>
        <w:p>
          <w:pPr>
            <w:pStyle w:val="5"/>
            <w:tabs>
              <w:tab w:val="right" w:leader="dot" w:pos="9060"/>
            </w:tabs>
            <w:ind w:left="960" w:firstLine="480"/>
          </w:pPr>
          <w:r>
            <w:fldChar w:fldCharType="begin"/>
          </w:r>
          <w:r>
            <w:instrText xml:space="preserve"> HYPERLINK \l "_Toc29995129" </w:instrText>
          </w:r>
          <w:r>
            <w:fldChar w:fldCharType="separate"/>
          </w:r>
          <w:r>
            <w:rPr>
              <w:rStyle w:val="18"/>
              <w:color w:val="auto"/>
            </w:rPr>
            <w:t>2.5.2</w:t>
          </w:r>
          <w:r>
            <w:rPr>
              <w:rStyle w:val="18"/>
              <w:rFonts w:hint="eastAsia"/>
              <w:color w:val="auto"/>
            </w:rPr>
            <w:t>岗位适应能力及岗位迁移能力</w:t>
          </w:r>
          <w:r>
            <w:tab/>
          </w:r>
          <w:r>
            <w:fldChar w:fldCharType="begin"/>
          </w:r>
          <w:r>
            <w:instrText xml:space="preserve"> PAGEREF _Toc29995129 \h </w:instrText>
          </w:r>
          <w:r>
            <w:fldChar w:fldCharType="separate"/>
          </w:r>
          <w:r>
            <w:t>30</w:t>
          </w:r>
          <w:r>
            <w:fldChar w:fldCharType="end"/>
          </w:r>
          <w:r>
            <w:fldChar w:fldCharType="end"/>
          </w:r>
        </w:p>
        <w:p>
          <w:pPr>
            <w:pStyle w:val="9"/>
            <w:tabs>
              <w:tab w:val="right" w:leader="dot" w:pos="9060"/>
            </w:tabs>
            <w:ind w:firstLine="480"/>
          </w:pPr>
          <w:r>
            <w:fldChar w:fldCharType="begin"/>
          </w:r>
          <w:r>
            <w:instrText xml:space="preserve"> HYPERLINK \l "_Toc29995132" </w:instrText>
          </w:r>
          <w:r>
            <w:fldChar w:fldCharType="separate"/>
          </w:r>
          <w:r>
            <w:rPr>
              <w:rStyle w:val="18"/>
              <w:color w:val="auto"/>
            </w:rPr>
            <w:t>3.</w:t>
          </w:r>
          <w:r>
            <w:rPr>
              <w:rStyle w:val="18"/>
              <w:rFonts w:hint="eastAsia"/>
              <w:color w:val="auto"/>
            </w:rPr>
            <w:t>质量保障措施</w:t>
          </w:r>
          <w:r>
            <w:tab/>
          </w:r>
          <w:r>
            <w:fldChar w:fldCharType="begin"/>
          </w:r>
          <w:r>
            <w:instrText xml:space="preserve"> PAGEREF _Toc29995132 \h </w:instrText>
          </w:r>
          <w:r>
            <w:fldChar w:fldCharType="separate"/>
          </w:r>
          <w:r>
            <w:t>31</w:t>
          </w:r>
          <w:r>
            <w:fldChar w:fldCharType="end"/>
          </w:r>
          <w:r>
            <w:fldChar w:fldCharType="end"/>
          </w:r>
        </w:p>
        <w:p>
          <w:pPr>
            <w:pStyle w:val="12"/>
            <w:tabs>
              <w:tab w:val="right" w:leader="dot" w:pos="9060"/>
            </w:tabs>
            <w:ind w:left="480" w:firstLine="480"/>
          </w:pPr>
          <w:r>
            <w:fldChar w:fldCharType="begin"/>
          </w:r>
          <w:r>
            <w:instrText xml:space="preserve"> HYPERLINK \l "_Toc29995133" </w:instrText>
          </w:r>
          <w:r>
            <w:fldChar w:fldCharType="separate"/>
          </w:r>
          <w:r>
            <w:rPr>
              <w:rStyle w:val="18"/>
              <w:color w:val="auto"/>
            </w:rPr>
            <w:t>3.1</w:t>
          </w:r>
          <w:r>
            <w:rPr>
              <w:rStyle w:val="18"/>
              <w:rFonts w:hint="eastAsia"/>
              <w:color w:val="auto"/>
            </w:rPr>
            <w:t>专业动态调整</w:t>
          </w:r>
          <w:r>
            <w:tab/>
          </w:r>
          <w:r>
            <w:fldChar w:fldCharType="begin"/>
          </w:r>
          <w:r>
            <w:instrText xml:space="preserve"> PAGEREF _Toc29995133 \h </w:instrText>
          </w:r>
          <w:r>
            <w:fldChar w:fldCharType="separate"/>
          </w:r>
          <w:r>
            <w:t>31</w:t>
          </w:r>
          <w:r>
            <w:fldChar w:fldCharType="end"/>
          </w:r>
          <w:r>
            <w:fldChar w:fldCharType="end"/>
          </w:r>
        </w:p>
        <w:p>
          <w:pPr>
            <w:pStyle w:val="5"/>
            <w:tabs>
              <w:tab w:val="right" w:leader="dot" w:pos="9060"/>
            </w:tabs>
            <w:ind w:left="960" w:firstLine="480"/>
          </w:pPr>
          <w:r>
            <w:fldChar w:fldCharType="begin"/>
          </w:r>
          <w:r>
            <w:instrText xml:space="preserve"> HYPERLINK \l "_Toc29995134" </w:instrText>
          </w:r>
          <w:r>
            <w:fldChar w:fldCharType="separate"/>
          </w:r>
          <w:r>
            <w:rPr>
              <w:rStyle w:val="18"/>
              <w:color w:val="auto"/>
            </w:rPr>
            <w:t>3.1.1</w:t>
          </w:r>
          <w:r>
            <w:rPr>
              <w:rStyle w:val="18"/>
              <w:rFonts w:hint="eastAsia"/>
              <w:color w:val="auto"/>
            </w:rPr>
            <w:t>专业动态调整</w:t>
          </w:r>
          <w:r>
            <w:tab/>
          </w:r>
          <w:r>
            <w:fldChar w:fldCharType="begin"/>
          </w:r>
          <w:r>
            <w:instrText xml:space="preserve"> PAGEREF _Toc29995134 \h </w:instrText>
          </w:r>
          <w:r>
            <w:fldChar w:fldCharType="separate"/>
          </w:r>
          <w:r>
            <w:t>31</w:t>
          </w:r>
          <w:r>
            <w:fldChar w:fldCharType="end"/>
          </w:r>
          <w:r>
            <w:fldChar w:fldCharType="end"/>
          </w:r>
        </w:p>
        <w:p>
          <w:pPr>
            <w:pStyle w:val="5"/>
            <w:tabs>
              <w:tab w:val="right" w:leader="dot" w:pos="9060"/>
            </w:tabs>
            <w:ind w:left="960" w:firstLine="480"/>
          </w:pPr>
          <w:r>
            <w:fldChar w:fldCharType="begin"/>
          </w:r>
          <w:r>
            <w:instrText xml:space="preserve"> HYPERLINK \l "_Toc29995135" </w:instrText>
          </w:r>
          <w:r>
            <w:fldChar w:fldCharType="separate"/>
          </w:r>
          <w:r>
            <w:rPr>
              <w:rStyle w:val="18"/>
              <w:color w:val="auto"/>
            </w:rPr>
            <w:t>3.1.2</w:t>
          </w:r>
          <w:r>
            <w:rPr>
              <w:rStyle w:val="18"/>
              <w:rFonts w:hint="eastAsia"/>
              <w:color w:val="auto"/>
            </w:rPr>
            <w:t>旧专业的改革情况</w:t>
          </w:r>
          <w:r>
            <w:tab/>
          </w:r>
          <w:r>
            <w:fldChar w:fldCharType="begin"/>
          </w:r>
          <w:r>
            <w:instrText xml:space="preserve"> PAGEREF _Toc29995135 \h </w:instrText>
          </w:r>
          <w:r>
            <w:fldChar w:fldCharType="separate"/>
          </w:r>
          <w:r>
            <w:t>32</w:t>
          </w:r>
          <w:r>
            <w:fldChar w:fldCharType="end"/>
          </w:r>
          <w:r>
            <w:fldChar w:fldCharType="end"/>
          </w:r>
        </w:p>
        <w:p>
          <w:pPr>
            <w:pStyle w:val="5"/>
            <w:tabs>
              <w:tab w:val="right" w:leader="dot" w:pos="9060"/>
            </w:tabs>
            <w:ind w:left="960" w:firstLine="480"/>
          </w:pPr>
          <w:r>
            <w:fldChar w:fldCharType="begin"/>
          </w:r>
          <w:r>
            <w:instrText xml:space="preserve"> HYPERLINK \l "_Toc29995136" </w:instrText>
          </w:r>
          <w:r>
            <w:fldChar w:fldCharType="separate"/>
          </w:r>
          <w:r>
            <w:rPr>
              <w:rStyle w:val="18"/>
              <w:color w:val="auto"/>
            </w:rPr>
            <w:t>3.1.3</w:t>
          </w:r>
          <w:r>
            <w:rPr>
              <w:rStyle w:val="18"/>
              <w:rFonts w:hint="eastAsia"/>
              <w:color w:val="auto"/>
            </w:rPr>
            <w:t>新专业的建设情况</w:t>
          </w:r>
          <w:r>
            <w:tab/>
          </w:r>
          <w:r>
            <w:fldChar w:fldCharType="begin"/>
          </w:r>
          <w:r>
            <w:instrText xml:space="preserve"> PAGEREF _Toc29995136 \h </w:instrText>
          </w:r>
          <w:r>
            <w:fldChar w:fldCharType="separate"/>
          </w:r>
          <w:r>
            <w:t>32</w:t>
          </w:r>
          <w:r>
            <w:fldChar w:fldCharType="end"/>
          </w:r>
          <w:r>
            <w:fldChar w:fldCharType="end"/>
          </w:r>
        </w:p>
        <w:p>
          <w:pPr>
            <w:pStyle w:val="5"/>
            <w:tabs>
              <w:tab w:val="right" w:leader="dot" w:pos="9060"/>
            </w:tabs>
            <w:ind w:left="960" w:firstLine="480"/>
          </w:pPr>
          <w:r>
            <w:fldChar w:fldCharType="begin"/>
          </w:r>
          <w:r>
            <w:instrText xml:space="preserve"> HYPERLINK \l "_Toc29995137" </w:instrText>
          </w:r>
          <w:r>
            <w:fldChar w:fldCharType="separate"/>
          </w:r>
          <w:r>
            <w:rPr>
              <w:rStyle w:val="18"/>
              <w:color w:val="auto"/>
            </w:rPr>
            <w:t>3.1.4</w:t>
          </w:r>
          <w:r>
            <w:rPr>
              <w:rStyle w:val="18"/>
              <w:rFonts w:hint="eastAsia"/>
              <w:color w:val="auto"/>
            </w:rPr>
            <w:t>人才培养模式的改革</w:t>
          </w:r>
          <w:r>
            <w:tab/>
          </w:r>
          <w:r>
            <w:fldChar w:fldCharType="begin"/>
          </w:r>
          <w:r>
            <w:instrText xml:space="preserve"> PAGEREF _Toc29995137 \h </w:instrText>
          </w:r>
          <w:r>
            <w:fldChar w:fldCharType="separate"/>
          </w:r>
          <w:r>
            <w:t>32</w:t>
          </w:r>
          <w:r>
            <w:fldChar w:fldCharType="end"/>
          </w:r>
          <w:r>
            <w:fldChar w:fldCharType="end"/>
          </w:r>
        </w:p>
        <w:p>
          <w:pPr>
            <w:pStyle w:val="12"/>
            <w:tabs>
              <w:tab w:val="right" w:leader="dot" w:pos="9060"/>
            </w:tabs>
            <w:ind w:left="480" w:firstLine="480"/>
          </w:pPr>
          <w:r>
            <w:fldChar w:fldCharType="begin"/>
          </w:r>
          <w:r>
            <w:instrText xml:space="preserve"> HYPERLINK \l "_Toc29995141" </w:instrText>
          </w:r>
          <w:r>
            <w:fldChar w:fldCharType="separate"/>
          </w:r>
          <w:r>
            <w:rPr>
              <w:rStyle w:val="18"/>
              <w:color w:val="auto"/>
            </w:rPr>
            <w:t>3.2</w:t>
          </w:r>
          <w:r>
            <w:rPr>
              <w:rStyle w:val="18"/>
              <w:rFonts w:hint="eastAsia"/>
              <w:color w:val="auto"/>
            </w:rPr>
            <w:t>教育教学改革</w:t>
          </w:r>
          <w:r>
            <w:tab/>
          </w:r>
          <w:r>
            <w:fldChar w:fldCharType="begin"/>
          </w:r>
          <w:r>
            <w:instrText xml:space="preserve"> PAGEREF _Toc29995141 \h </w:instrText>
          </w:r>
          <w:r>
            <w:fldChar w:fldCharType="separate"/>
          </w:r>
          <w:r>
            <w:t>33</w:t>
          </w:r>
          <w:r>
            <w:fldChar w:fldCharType="end"/>
          </w:r>
          <w:r>
            <w:fldChar w:fldCharType="end"/>
          </w:r>
        </w:p>
        <w:p>
          <w:pPr>
            <w:pStyle w:val="5"/>
            <w:tabs>
              <w:tab w:val="right" w:leader="dot" w:pos="9060"/>
            </w:tabs>
            <w:ind w:left="960" w:firstLine="480"/>
          </w:pPr>
          <w:r>
            <w:fldChar w:fldCharType="begin"/>
          </w:r>
          <w:r>
            <w:instrText xml:space="preserve"> HYPERLINK \l "_Toc29995142" </w:instrText>
          </w:r>
          <w:r>
            <w:fldChar w:fldCharType="separate"/>
          </w:r>
          <w:r>
            <w:rPr>
              <w:rStyle w:val="18"/>
              <w:color w:val="auto"/>
            </w:rPr>
            <w:t>3.2. 1</w:t>
          </w:r>
          <w:r>
            <w:rPr>
              <w:rStyle w:val="18"/>
              <w:rFonts w:hint="eastAsia"/>
              <w:color w:val="auto"/>
            </w:rPr>
            <w:t>公共基础课改革</w:t>
          </w:r>
          <w:r>
            <w:tab/>
          </w:r>
          <w:r>
            <w:fldChar w:fldCharType="begin"/>
          </w:r>
          <w:r>
            <w:instrText xml:space="preserve"> PAGEREF _Toc29995142 \h </w:instrText>
          </w:r>
          <w:r>
            <w:fldChar w:fldCharType="separate"/>
          </w:r>
          <w:r>
            <w:t>33</w:t>
          </w:r>
          <w:r>
            <w:fldChar w:fldCharType="end"/>
          </w:r>
          <w:r>
            <w:fldChar w:fldCharType="end"/>
          </w:r>
        </w:p>
        <w:p>
          <w:pPr>
            <w:pStyle w:val="5"/>
            <w:tabs>
              <w:tab w:val="right" w:leader="dot" w:pos="9060"/>
            </w:tabs>
            <w:ind w:left="960" w:firstLine="480"/>
          </w:pPr>
          <w:r>
            <w:fldChar w:fldCharType="begin"/>
          </w:r>
          <w:r>
            <w:instrText xml:space="preserve"> HYPERLINK \l "_Toc29995146" </w:instrText>
          </w:r>
          <w:r>
            <w:fldChar w:fldCharType="separate"/>
          </w:r>
          <w:r>
            <w:rPr>
              <w:rStyle w:val="18"/>
              <w:color w:val="auto"/>
            </w:rPr>
            <w:t>3.2.2</w:t>
          </w:r>
          <w:r>
            <w:rPr>
              <w:rStyle w:val="18"/>
              <w:rFonts w:hint="eastAsia"/>
              <w:color w:val="auto"/>
            </w:rPr>
            <w:t>师资队伍</w:t>
          </w:r>
          <w:r>
            <w:tab/>
          </w:r>
          <w:r>
            <w:fldChar w:fldCharType="begin"/>
          </w:r>
          <w:r>
            <w:instrText xml:space="preserve"> PAGEREF _Toc29995146 \h </w:instrText>
          </w:r>
          <w:r>
            <w:fldChar w:fldCharType="separate"/>
          </w:r>
          <w:r>
            <w:t>36</w:t>
          </w:r>
          <w:r>
            <w:fldChar w:fldCharType="end"/>
          </w:r>
          <w:r>
            <w:fldChar w:fldCharType="end"/>
          </w:r>
        </w:p>
        <w:p>
          <w:pPr>
            <w:pStyle w:val="5"/>
            <w:tabs>
              <w:tab w:val="right" w:leader="dot" w:pos="9060"/>
            </w:tabs>
            <w:ind w:left="960" w:firstLine="480"/>
          </w:pPr>
          <w:r>
            <w:fldChar w:fldCharType="begin"/>
          </w:r>
          <w:r>
            <w:instrText xml:space="preserve"> HYPERLINK \l "_Toc29995147" </w:instrText>
          </w:r>
          <w:r>
            <w:fldChar w:fldCharType="separate"/>
          </w:r>
          <w:r>
            <w:rPr>
              <w:rStyle w:val="18"/>
              <w:color w:val="auto"/>
            </w:rPr>
            <w:t>3.2.3</w:t>
          </w:r>
          <w:r>
            <w:rPr>
              <w:rStyle w:val="18"/>
              <w:rFonts w:hint="eastAsia"/>
              <w:color w:val="auto"/>
            </w:rPr>
            <w:t>课程建设情况</w:t>
          </w:r>
          <w:r>
            <w:tab/>
          </w:r>
          <w:r>
            <w:fldChar w:fldCharType="begin"/>
          </w:r>
          <w:r>
            <w:instrText xml:space="preserve"> PAGEREF _Toc29995147 \h </w:instrText>
          </w:r>
          <w:r>
            <w:fldChar w:fldCharType="separate"/>
          </w:r>
          <w:r>
            <w:t>39</w:t>
          </w:r>
          <w:r>
            <w:fldChar w:fldCharType="end"/>
          </w:r>
          <w:r>
            <w:fldChar w:fldCharType="end"/>
          </w:r>
        </w:p>
        <w:p>
          <w:pPr>
            <w:pStyle w:val="5"/>
            <w:tabs>
              <w:tab w:val="right" w:leader="dot" w:pos="9060"/>
            </w:tabs>
            <w:ind w:left="960" w:firstLine="480"/>
          </w:pPr>
          <w:r>
            <w:fldChar w:fldCharType="begin"/>
          </w:r>
          <w:r>
            <w:instrText xml:space="preserve"> HYPERLINK \l "_Toc29995152" </w:instrText>
          </w:r>
          <w:r>
            <w:fldChar w:fldCharType="separate"/>
          </w:r>
          <w:r>
            <w:rPr>
              <w:rStyle w:val="18"/>
            </w:rPr>
            <w:t>3.2.6</w:t>
          </w:r>
          <w:r>
            <w:rPr>
              <w:rStyle w:val="18"/>
              <w:rFonts w:hint="eastAsia"/>
            </w:rPr>
            <w:t>实训基地建设</w:t>
          </w:r>
          <w:r>
            <w:tab/>
          </w:r>
          <w:r>
            <w:fldChar w:fldCharType="begin"/>
          </w:r>
          <w:r>
            <w:instrText xml:space="preserve"> PAGEREF _Toc29995152 \h </w:instrText>
          </w:r>
          <w:r>
            <w:fldChar w:fldCharType="separate"/>
          </w:r>
          <w:r>
            <w:t>44</w:t>
          </w:r>
          <w:r>
            <w:fldChar w:fldCharType="end"/>
          </w:r>
          <w:r>
            <w:fldChar w:fldCharType="end"/>
          </w:r>
        </w:p>
        <w:p>
          <w:pPr>
            <w:pStyle w:val="12"/>
            <w:tabs>
              <w:tab w:val="right" w:leader="dot" w:pos="9060"/>
            </w:tabs>
            <w:ind w:left="480" w:firstLine="480"/>
          </w:pPr>
          <w:r>
            <w:fldChar w:fldCharType="begin"/>
          </w:r>
          <w:r>
            <w:instrText xml:space="preserve"> HYPERLINK \l "_Toc29995153" </w:instrText>
          </w:r>
          <w:r>
            <w:fldChar w:fldCharType="separate"/>
          </w:r>
          <w:r>
            <w:rPr>
              <w:rStyle w:val="18"/>
            </w:rPr>
            <w:t xml:space="preserve">3.3 </w:t>
          </w:r>
          <w:r>
            <w:rPr>
              <w:rStyle w:val="18"/>
              <w:rFonts w:hint="eastAsia"/>
            </w:rPr>
            <w:t>教师培养培训</w:t>
          </w:r>
          <w:r>
            <w:tab/>
          </w:r>
          <w:r>
            <w:fldChar w:fldCharType="begin"/>
          </w:r>
          <w:r>
            <w:instrText xml:space="preserve"> PAGEREF _Toc29995153 \h </w:instrText>
          </w:r>
          <w:r>
            <w:fldChar w:fldCharType="separate"/>
          </w:r>
          <w:r>
            <w:t>46</w:t>
          </w:r>
          <w:r>
            <w:fldChar w:fldCharType="end"/>
          </w:r>
          <w:r>
            <w:fldChar w:fldCharType="end"/>
          </w:r>
        </w:p>
        <w:p>
          <w:pPr>
            <w:pStyle w:val="5"/>
            <w:tabs>
              <w:tab w:val="right" w:leader="dot" w:pos="9060"/>
            </w:tabs>
            <w:ind w:left="960" w:firstLine="480"/>
          </w:pPr>
          <w:r>
            <w:fldChar w:fldCharType="begin"/>
          </w:r>
          <w:r>
            <w:instrText xml:space="preserve"> HYPERLINK \l "_Toc29995154" </w:instrText>
          </w:r>
          <w:r>
            <w:fldChar w:fldCharType="separate"/>
          </w:r>
          <w:r>
            <w:rPr>
              <w:rStyle w:val="18"/>
            </w:rPr>
            <w:t>3.3.1</w:t>
          </w:r>
          <w:r>
            <w:rPr>
              <w:rStyle w:val="18"/>
              <w:rFonts w:hint="eastAsia"/>
            </w:rPr>
            <w:t>加强师德教育</w:t>
          </w:r>
          <w:r>
            <w:tab/>
          </w:r>
          <w:r>
            <w:fldChar w:fldCharType="begin"/>
          </w:r>
          <w:r>
            <w:instrText xml:space="preserve"> PAGEREF _Toc29995154 \h </w:instrText>
          </w:r>
          <w:r>
            <w:fldChar w:fldCharType="separate"/>
          </w:r>
          <w:r>
            <w:t>46</w:t>
          </w:r>
          <w:r>
            <w:fldChar w:fldCharType="end"/>
          </w:r>
          <w:r>
            <w:fldChar w:fldCharType="end"/>
          </w:r>
        </w:p>
        <w:p>
          <w:pPr>
            <w:pStyle w:val="5"/>
            <w:tabs>
              <w:tab w:val="right" w:leader="dot" w:pos="9060"/>
            </w:tabs>
            <w:ind w:left="960" w:firstLine="480"/>
          </w:pPr>
          <w:r>
            <w:fldChar w:fldCharType="begin"/>
          </w:r>
          <w:r>
            <w:instrText xml:space="preserve"> HYPERLINK \l "_Toc29995155" </w:instrText>
          </w:r>
          <w:r>
            <w:fldChar w:fldCharType="separate"/>
          </w:r>
          <w:r>
            <w:rPr>
              <w:rStyle w:val="18"/>
            </w:rPr>
            <w:t>3.3.2</w:t>
          </w:r>
          <w:r>
            <w:rPr>
              <w:rStyle w:val="18"/>
              <w:rFonts w:hint="eastAsia"/>
            </w:rPr>
            <w:t>加强培训进修</w:t>
          </w:r>
          <w:r>
            <w:tab/>
          </w:r>
          <w:r>
            <w:fldChar w:fldCharType="begin"/>
          </w:r>
          <w:r>
            <w:instrText xml:space="preserve"> PAGEREF _Toc29995155 \h </w:instrText>
          </w:r>
          <w:r>
            <w:fldChar w:fldCharType="separate"/>
          </w:r>
          <w:r>
            <w:t>46</w:t>
          </w:r>
          <w:r>
            <w:fldChar w:fldCharType="end"/>
          </w:r>
          <w:r>
            <w:fldChar w:fldCharType="end"/>
          </w:r>
        </w:p>
        <w:p>
          <w:pPr>
            <w:pStyle w:val="5"/>
            <w:tabs>
              <w:tab w:val="right" w:leader="dot" w:pos="9060"/>
            </w:tabs>
            <w:ind w:left="960" w:firstLine="480"/>
          </w:pPr>
          <w:r>
            <w:fldChar w:fldCharType="begin"/>
          </w:r>
          <w:r>
            <w:instrText xml:space="preserve"> HYPERLINK \l "_Toc29995156" </w:instrText>
          </w:r>
          <w:r>
            <w:fldChar w:fldCharType="separate"/>
          </w:r>
          <w:r>
            <w:rPr>
              <w:rStyle w:val="18"/>
            </w:rPr>
            <w:t>3.3.3</w:t>
          </w:r>
          <w:r>
            <w:rPr>
              <w:rStyle w:val="18"/>
              <w:rFonts w:hint="eastAsia"/>
            </w:rPr>
            <w:t>建立激励制度</w:t>
          </w:r>
          <w:r>
            <w:tab/>
          </w:r>
          <w:r>
            <w:fldChar w:fldCharType="begin"/>
          </w:r>
          <w:r>
            <w:instrText xml:space="preserve"> PAGEREF _Toc29995156 \h </w:instrText>
          </w:r>
          <w:r>
            <w:fldChar w:fldCharType="separate"/>
          </w:r>
          <w:r>
            <w:t>49</w:t>
          </w:r>
          <w:r>
            <w:fldChar w:fldCharType="end"/>
          </w:r>
          <w:r>
            <w:fldChar w:fldCharType="end"/>
          </w:r>
        </w:p>
        <w:p>
          <w:pPr>
            <w:pStyle w:val="5"/>
            <w:tabs>
              <w:tab w:val="right" w:leader="dot" w:pos="9060"/>
            </w:tabs>
            <w:ind w:left="960" w:firstLine="480"/>
          </w:pPr>
          <w:r>
            <w:fldChar w:fldCharType="begin"/>
          </w:r>
          <w:r>
            <w:instrText xml:space="preserve"> HYPERLINK \l "_Toc29995157" </w:instrText>
          </w:r>
          <w:r>
            <w:fldChar w:fldCharType="separate"/>
          </w:r>
          <w:r>
            <w:rPr>
              <w:rStyle w:val="18"/>
            </w:rPr>
            <w:t>3.3.4</w:t>
          </w:r>
          <w:r>
            <w:rPr>
              <w:rStyle w:val="18"/>
              <w:rFonts w:hint="eastAsia"/>
            </w:rPr>
            <w:t>加强教育科研</w:t>
          </w:r>
          <w:r>
            <w:tab/>
          </w:r>
          <w:r>
            <w:fldChar w:fldCharType="begin"/>
          </w:r>
          <w:r>
            <w:instrText xml:space="preserve"> PAGEREF _Toc29995157 \h </w:instrText>
          </w:r>
          <w:r>
            <w:fldChar w:fldCharType="separate"/>
          </w:r>
          <w:r>
            <w:t>49</w:t>
          </w:r>
          <w:r>
            <w:fldChar w:fldCharType="end"/>
          </w:r>
          <w:r>
            <w:fldChar w:fldCharType="end"/>
          </w:r>
        </w:p>
        <w:p>
          <w:pPr>
            <w:pStyle w:val="12"/>
            <w:tabs>
              <w:tab w:val="right" w:leader="dot" w:pos="9060"/>
            </w:tabs>
            <w:ind w:left="480" w:firstLine="480"/>
          </w:pPr>
          <w:r>
            <w:fldChar w:fldCharType="begin"/>
          </w:r>
          <w:r>
            <w:instrText xml:space="preserve"> HYPERLINK \l "_Toc29995158" </w:instrText>
          </w:r>
          <w:r>
            <w:fldChar w:fldCharType="separate"/>
          </w:r>
          <w:r>
            <w:rPr>
              <w:rStyle w:val="18"/>
            </w:rPr>
            <w:t xml:space="preserve">3.4 </w:t>
          </w:r>
          <w:r>
            <w:rPr>
              <w:rStyle w:val="18"/>
              <w:rFonts w:hint="eastAsia"/>
            </w:rPr>
            <w:t>规范化管理情况</w:t>
          </w:r>
          <w:r>
            <w:tab/>
          </w:r>
          <w:r>
            <w:fldChar w:fldCharType="begin"/>
          </w:r>
          <w:r>
            <w:instrText xml:space="preserve"> PAGEREF _Toc29995158 \h </w:instrText>
          </w:r>
          <w:r>
            <w:fldChar w:fldCharType="separate"/>
          </w:r>
          <w:r>
            <w:t>50</w:t>
          </w:r>
          <w:r>
            <w:fldChar w:fldCharType="end"/>
          </w:r>
          <w:r>
            <w:fldChar w:fldCharType="end"/>
          </w:r>
        </w:p>
        <w:p>
          <w:pPr>
            <w:pStyle w:val="5"/>
            <w:tabs>
              <w:tab w:val="right" w:leader="dot" w:pos="9060"/>
            </w:tabs>
            <w:ind w:left="960" w:firstLine="480"/>
          </w:pPr>
          <w:r>
            <w:fldChar w:fldCharType="begin"/>
          </w:r>
          <w:r>
            <w:instrText xml:space="preserve"> HYPERLINK \l "_Toc29995159" </w:instrText>
          </w:r>
          <w:r>
            <w:fldChar w:fldCharType="separate"/>
          </w:r>
          <w:r>
            <w:rPr>
              <w:rStyle w:val="18"/>
            </w:rPr>
            <w:t>3.4.1</w:t>
          </w:r>
          <w:r>
            <w:rPr>
              <w:rStyle w:val="18"/>
              <w:rFonts w:hint="eastAsia"/>
            </w:rPr>
            <w:t>教学管理规范运行</w:t>
          </w:r>
          <w:r>
            <w:tab/>
          </w:r>
          <w:r>
            <w:fldChar w:fldCharType="begin"/>
          </w:r>
          <w:r>
            <w:instrText xml:space="preserve"> PAGEREF _Toc29995159 \h </w:instrText>
          </w:r>
          <w:r>
            <w:fldChar w:fldCharType="separate"/>
          </w:r>
          <w:r>
            <w:t>50</w:t>
          </w:r>
          <w:r>
            <w:fldChar w:fldCharType="end"/>
          </w:r>
          <w:r>
            <w:fldChar w:fldCharType="end"/>
          </w:r>
        </w:p>
        <w:p>
          <w:pPr>
            <w:pStyle w:val="5"/>
            <w:tabs>
              <w:tab w:val="right" w:leader="dot" w:pos="9060"/>
            </w:tabs>
            <w:ind w:left="960" w:firstLine="480"/>
          </w:pPr>
          <w:r>
            <w:fldChar w:fldCharType="begin"/>
          </w:r>
          <w:r>
            <w:instrText xml:space="preserve"> HYPERLINK \l "_Toc29995160" </w:instrText>
          </w:r>
          <w:r>
            <w:fldChar w:fldCharType="separate"/>
          </w:r>
          <w:r>
            <w:rPr>
              <w:rStyle w:val="18"/>
            </w:rPr>
            <w:t>3.4.2</w:t>
          </w:r>
          <w:r>
            <w:rPr>
              <w:rStyle w:val="18"/>
              <w:rFonts w:hint="eastAsia"/>
            </w:rPr>
            <w:t>学生管理创新开展</w:t>
          </w:r>
          <w:r>
            <w:tab/>
          </w:r>
          <w:r>
            <w:fldChar w:fldCharType="begin"/>
          </w:r>
          <w:r>
            <w:instrText xml:space="preserve"> PAGEREF _Toc29995160 \h </w:instrText>
          </w:r>
          <w:r>
            <w:fldChar w:fldCharType="separate"/>
          </w:r>
          <w:r>
            <w:t>50</w:t>
          </w:r>
          <w:r>
            <w:fldChar w:fldCharType="end"/>
          </w:r>
          <w:r>
            <w:fldChar w:fldCharType="end"/>
          </w:r>
        </w:p>
        <w:p>
          <w:pPr>
            <w:pStyle w:val="5"/>
            <w:tabs>
              <w:tab w:val="right" w:leader="dot" w:pos="9060"/>
            </w:tabs>
            <w:ind w:left="960" w:firstLine="480"/>
          </w:pPr>
          <w:r>
            <w:fldChar w:fldCharType="begin"/>
          </w:r>
          <w:r>
            <w:instrText xml:space="preserve"> HYPERLINK \l "_Toc29995161" </w:instrText>
          </w:r>
          <w:r>
            <w:fldChar w:fldCharType="separate"/>
          </w:r>
          <w:r>
            <w:rPr>
              <w:rStyle w:val="18"/>
            </w:rPr>
            <w:t>3.4.3</w:t>
          </w:r>
          <w:r>
            <w:rPr>
              <w:rStyle w:val="18"/>
              <w:rFonts w:hint="eastAsia"/>
            </w:rPr>
            <w:t>财务运行规范有序</w:t>
          </w:r>
          <w:r>
            <w:tab/>
          </w:r>
          <w:r>
            <w:fldChar w:fldCharType="begin"/>
          </w:r>
          <w:r>
            <w:instrText xml:space="preserve"> PAGEREF _Toc29995161 \h </w:instrText>
          </w:r>
          <w:r>
            <w:fldChar w:fldCharType="separate"/>
          </w:r>
          <w:r>
            <w:t>51</w:t>
          </w:r>
          <w:r>
            <w:fldChar w:fldCharType="end"/>
          </w:r>
          <w:r>
            <w:fldChar w:fldCharType="end"/>
          </w:r>
        </w:p>
        <w:p>
          <w:pPr>
            <w:pStyle w:val="5"/>
            <w:tabs>
              <w:tab w:val="right" w:leader="dot" w:pos="9060"/>
            </w:tabs>
            <w:ind w:left="960" w:firstLine="480"/>
          </w:pPr>
          <w:r>
            <w:fldChar w:fldCharType="begin"/>
          </w:r>
          <w:r>
            <w:instrText xml:space="preserve"> HYPERLINK \l "_Toc29995162" </w:instrText>
          </w:r>
          <w:r>
            <w:fldChar w:fldCharType="separate"/>
          </w:r>
          <w:r>
            <w:rPr>
              <w:rStyle w:val="18"/>
            </w:rPr>
            <w:t>3.4.4</w:t>
          </w:r>
          <w:r>
            <w:rPr>
              <w:rStyle w:val="18"/>
              <w:rFonts w:hint="eastAsia"/>
            </w:rPr>
            <w:t>后勤管理服务有保障</w:t>
          </w:r>
          <w:r>
            <w:tab/>
          </w:r>
          <w:r>
            <w:fldChar w:fldCharType="begin"/>
          </w:r>
          <w:r>
            <w:instrText xml:space="preserve"> PAGEREF _Toc29995162 \h </w:instrText>
          </w:r>
          <w:r>
            <w:fldChar w:fldCharType="separate"/>
          </w:r>
          <w:r>
            <w:t>51</w:t>
          </w:r>
          <w:r>
            <w:fldChar w:fldCharType="end"/>
          </w:r>
          <w:r>
            <w:fldChar w:fldCharType="end"/>
          </w:r>
        </w:p>
        <w:p>
          <w:pPr>
            <w:pStyle w:val="5"/>
            <w:tabs>
              <w:tab w:val="right" w:leader="dot" w:pos="9060"/>
            </w:tabs>
            <w:ind w:left="960" w:firstLine="480"/>
          </w:pPr>
          <w:r>
            <w:fldChar w:fldCharType="begin"/>
          </w:r>
          <w:r>
            <w:instrText xml:space="preserve"> HYPERLINK \l "_Toc29995163" </w:instrText>
          </w:r>
          <w:r>
            <w:fldChar w:fldCharType="separate"/>
          </w:r>
          <w:r>
            <w:rPr>
              <w:rStyle w:val="18"/>
            </w:rPr>
            <w:t>3.4.5</w:t>
          </w:r>
          <w:r>
            <w:rPr>
              <w:rStyle w:val="18"/>
              <w:rFonts w:hint="eastAsia"/>
            </w:rPr>
            <w:t>注重安全教育</w:t>
          </w:r>
          <w:r>
            <w:tab/>
          </w:r>
          <w:r>
            <w:fldChar w:fldCharType="begin"/>
          </w:r>
          <w:r>
            <w:instrText xml:space="preserve"> PAGEREF _Toc29995163 \h </w:instrText>
          </w:r>
          <w:r>
            <w:fldChar w:fldCharType="separate"/>
          </w:r>
          <w:r>
            <w:t>51</w:t>
          </w:r>
          <w:r>
            <w:fldChar w:fldCharType="end"/>
          </w:r>
          <w:r>
            <w:fldChar w:fldCharType="end"/>
          </w:r>
        </w:p>
        <w:p>
          <w:pPr>
            <w:pStyle w:val="5"/>
            <w:tabs>
              <w:tab w:val="right" w:leader="dot" w:pos="9060"/>
            </w:tabs>
            <w:ind w:left="960" w:firstLine="480"/>
          </w:pPr>
          <w:r>
            <w:fldChar w:fldCharType="begin"/>
          </w:r>
          <w:r>
            <w:instrText xml:space="preserve"> HYPERLINK \l "_Toc29995164" </w:instrText>
          </w:r>
          <w:r>
            <w:fldChar w:fldCharType="separate"/>
          </w:r>
          <w:r>
            <w:rPr>
              <w:rStyle w:val="18"/>
            </w:rPr>
            <w:t>3.4.6</w:t>
          </w:r>
          <w:r>
            <w:rPr>
              <w:rStyle w:val="18"/>
              <w:rFonts w:hint="eastAsia"/>
            </w:rPr>
            <w:t>科研管理成效显著</w:t>
          </w:r>
          <w:r>
            <w:tab/>
          </w:r>
          <w:r>
            <w:fldChar w:fldCharType="begin"/>
          </w:r>
          <w:r>
            <w:instrText xml:space="preserve"> PAGEREF _Toc29995164 \h </w:instrText>
          </w:r>
          <w:r>
            <w:fldChar w:fldCharType="separate"/>
          </w:r>
          <w:r>
            <w:t>52</w:t>
          </w:r>
          <w:r>
            <w:fldChar w:fldCharType="end"/>
          </w:r>
          <w:r>
            <w:fldChar w:fldCharType="end"/>
          </w:r>
        </w:p>
        <w:p>
          <w:pPr>
            <w:pStyle w:val="5"/>
            <w:tabs>
              <w:tab w:val="right" w:leader="dot" w:pos="9060"/>
            </w:tabs>
            <w:ind w:left="960" w:firstLine="480"/>
          </w:pPr>
          <w:r>
            <w:fldChar w:fldCharType="begin"/>
          </w:r>
          <w:r>
            <w:instrText xml:space="preserve"> HYPERLINK \l "_Toc29995165" </w:instrText>
          </w:r>
          <w:r>
            <w:fldChar w:fldCharType="separate"/>
          </w:r>
          <w:r>
            <w:rPr>
              <w:rStyle w:val="18"/>
            </w:rPr>
            <w:t>3.4.7</w:t>
          </w:r>
          <w:r>
            <w:rPr>
              <w:rStyle w:val="18"/>
              <w:rFonts w:hint="eastAsia"/>
            </w:rPr>
            <w:t>加强管理队伍建设</w:t>
          </w:r>
          <w:r>
            <w:tab/>
          </w:r>
          <w:r>
            <w:fldChar w:fldCharType="begin"/>
          </w:r>
          <w:r>
            <w:instrText xml:space="preserve"> PAGEREF _Toc29995165 \h </w:instrText>
          </w:r>
          <w:r>
            <w:fldChar w:fldCharType="separate"/>
          </w:r>
          <w:r>
            <w:t>52</w:t>
          </w:r>
          <w:r>
            <w:fldChar w:fldCharType="end"/>
          </w:r>
          <w:r>
            <w:fldChar w:fldCharType="end"/>
          </w:r>
        </w:p>
        <w:p>
          <w:pPr>
            <w:pStyle w:val="5"/>
            <w:tabs>
              <w:tab w:val="right" w:leader="dot" w:pos="9060"/>
            </w:tabs>
            <w:ind w:left="960" w:firstLine="480"/>
          </w:pPr>
          <w:r>
            <w:fldChar w:fldCharType="begin"/>
          </w:r>
          <w:r>
            <w:instrText xml:space="preserve"> HYPERLINK \l "_Toc29995166" </w:instrText>
          </w:r>
          <w:r>
            <w:fldChar w:fldCharType="separate"/>
          </w:r>
          <w:r>
            <w:rPr>
              <w:rStyle w:val="18"/>
              <w:kern w:val="0"/>
            </w:rPr>
            <w:t>3.4.8</w:t>
          </w:r>
          <w:r>
            <w:rPr>
              <w:rStyle w:val="18"/>
              <w:rFonts w:hint="eastAsia"/>
              <w:kern w:val="0"/>
            </w:rPr>
            <w:t>重视信息化建设</w:t>
          </w:r>
          <w:r>
            <w:tab/>
          </w:r>
          <w:r>
            <w:fldChar w:fldCharType="begin"/>
          </w:r>
          <w:r>
            <w:instrText xml:space="preserve"> PAGEREF _Toc29995166 \h </w:instrText>
          </w:r>
          <w:r>
            <w:fldChar w:fldCharType="separate"/>
          </w:r>
          <w:r>
            <w:t>53</w:t>
          </w:r>
          <w:r>
            <w:fldChar w:fldCharType="end"/>
          </w:r>
          <w:r>
            <w:fldChar w:fldCharType="end"/>
          </w:r>
        </w:p>
        <w:p>
          <w:pPr>
            <w:pStyle w:val="12"/>
            <w:tabs>
              <w:tab w:val="right" w:leader="dot" w:pos="9060"/>
            </w:tabs>
            <w:ind w:left="480" w:firstLine="480"/>
          </w:pPr>
          <w:r>
            <w:fldChar w:fldCharType="begin"/>
          </w:r>
          <w:r>
            <w:instrText xml:space="preserve"> HYPERLINK \l "_Toc29995167" </w:instrText>
          </w:r>
          <w:r>
            <w:fldChar w:fldCharType="separate"/>
          </w:r>
          <w:r>
            <w:rPr>
              <w:rStyle w:val="18"/>
            </w:rPr>
            <w:t>3.5</w:t>
          </w:r>
          <w:r>
            <w:rPr>
              <w:rStyle w:val="18"/>
              <w:rFonts w:hint="eastAsia"/>
            </w:rPr>
            <w:t>德育工作情况</w:t>
          </w:r>
          <w:r>
            <w:tab/>
          </w:r>
          <w:r>
            <w:fldChar w:fldCharType="begin"/>
          </w:r>
          <w:r>
            <w:instrText xml:space="preserve"> PAGEREF _Toc29995167 \h </w:instrText>
          </w:r>
          <w:r>
            <w:fldChar w:fldCharType="separate"/>
          </w:r>
          <w:r>
            <w:t>53</w:t>
          </w:r>
          <w:r>
            <w:fldChar w:fldCharType="end"/>
          </w:r>
          <w:r>
            <w:fldChar w:fldCharType="end"/>
          </w:r>
        </w:p>
        <w:p>
          <w:pPr>
            <w:pStyle w:val="5"/>
            <w:tabs>
              <w:tab w:val="right" w:leader="dot" w:pos="9060"/>
            </w:tabs>
            <w:ind w:left="960" w:firstLine="480"/>
          </w:pPr>
          <w:r>
            <w:fldChar w:fldCharType="begin"/>
          </w:r>
          <w:r>
            <w:instrText xml:space="preserve"> HYPERLINK \l "_Toc29995168" </w:instrText>
          </w:r>
          <w:r>
            <w:fldChar w:fldCharType="separate"/>
          </w:r>
          <w:r>
            <w:rPr>
              <w:rStyle w:val="18"/>
              <w:kern w:val="0"/>
            </w:rPr>
            <w:t>3.5.1</w:t>
          </w:r>
          <w:r>
            <w:rPr>
              <w:rStyle w:val="18"/>
              <w:rFonts w:hint="eastAsia"/>
              <w:kern w:val="0"/>
            </w:rPr>
            <w:t>德育课实施情况</w:t>
          </w:r>
          <w:r>
            <w:tab/>
          </w:r>
          <w:r>
            <w:fldChar w:fldCharType="begin"/>
          </w:r>
          <w:r>
            <w:instrText xml:space="preserve"> PAGEREF _Toc29995168 \h </w:instrText>
          </w:r>
          <w:r>
            <w:fldChar w:fldCharType="separate"/>
          </w:r>
          <w:r>
            <w:t>53</w:t>
          </w:r>
          <w:r>
            <w:fldChar w:fldCharType="end"/>
          </w:r>
          <w:r>
            <w:fldChar w:fldCharType="end"/>
          </w:r>
        </w:p>
        <w:p>
          <w:pPr>
            <w:pStyle w:val="5"/>
            <w:tabs>
              <w:tab w:val="right" w:leader="dot" w:pos="9060"/>
            </w:tabs>
            <w:ind w:left="960" w:firstLine="480"/>
          </w:pPr>
          <w:r>
            <w:fldChar w:fldCharType="begin"/>
          </w:r>
          <w:r>
            <w:instrText xml:space="preserve"> HYPERLINK \l "_Toc29995169" </w:instrText>
          </w:r>
          <w:r>
            <w:fldChar w:fldCharType="separate"/>
          </w:r>
          <w:r>
            <w:rPr>
              <w:rStyle w:val="18"/>
              <w:kern w:val="0"/>
            </w:rPr>
            <w:t>3.5.2</w:t>
          </w:r>
          <w:r>
            <w:rPr>
              <w:rStyle w:val="18"/>
              <w:rFonts w:hint="eastAsia"/>
              <w:kern w:val="0"/>
            </w:rPr>
            <w:t>校园文化建设情况</w:t>
          </w:r>
          <w:r>
            <w:tab/>
          </w:r>
          <w:r>
            <w:fldChar w:fldCharType="begin"/>
          </w:r>
          <w:r>
            <w:instrText xml:space="preserve"> PAGEREF _Toc29995169 \h </w:instrText>
          </w:r>
          <w:r>
            <w:fldChar w:fldCharType="separate"/>
          </w:r>
          <w:r>
            <w:t>53</w:t>
          </w:r>
          <w:r>
            <w:fldChar w:fldCharType="end"/>
          </w:r>
          <w:r>
            <w:fldChar w:fldCharType="end"/>
          </w:r>
        </w:p>
        <w:p>
          <w:pPr>
            <w:pStyle w:val="5"/>
            <w:tabs>
              <w:tab w:val="right" w:leader="dot" w:pos="9060"/>
            </w:tabs>
            <w:ind w:left="960" w:firstLine="480"/>
          </w:pPr>
          <w:r>
            <w:fldChar w:fldCharType="begin"/>
          </w:r>
          <w:r>
            <w:instrText xml:space="preserve"> HYPERLINK \l "_Toc29995170" </w:instrText>
          </w:r>
          <w:r>
            <w:fldChar w:fldCharType="separate"/>
          </w:r>
          <w:r>
            <w:rPr>
              <w:rStyle w:val="18"/>
              <w:kern w:val="0"/>
            </w:rPr>
            <w:t>3.5.3</w:t>
          </w:r>
          <w:r>
            <w:rPr>
              <w:rStyle w:val="18"/>
              <w:rFonts w:hint="eastAsia"/>
              <w:kern w:val="0"/>
            </w:rPr>
            <w:t>文明风采活动情况</w:t>
          </w:r>
          <w:r>
            <w:tab/>
          </w:r>
          <w:r>
            <w:fldChar w:fldCharType="begin"/>
          </w:r>
          <w:r>
            <w:instrText xml:space="preserve"> PAGEREF _Toc29995170 \h </w:instrText>
          </w:r>
          <w:r>
            <w:fldChar w:fldCharType="separate"/>
          </w:r>
          <w:r>
            <w:t>54</w:t>
          </w:r>
          <w:r>
            <w:fldChar w:fldCharType="end"/>
          </w:r>
          <w:r>
            <w:fldChar w:fldCharType="end"/>
          </w:r>
        </w:p>
        <w:p>
          <w:pPr>
            <w:pStyle w:val="5"/>
            <w:tabs>
              <w:tab w:val="right" w:leader="dot" w:pos="9060"/>
            </w:tabs>
            <w:ind w:left="960" w:firstLine="480"/>
          </w:pPr>
          <w:r>
            <w:fldChar w:fldCharType="begin"/>
          </w:r>
          <w:r>
            <w:instrText xml:space="preserve"> HYPERLINK \l "_Toc29995171" </w:instrText>
          </w:r>
          <w:r>
            <w:fldChar w:fldCharType="separate"/>
          </w:r>
          <w:r>
            <w:rPr>
              <w:rStyle w:val="18"/>
              <w:kern w:val="0"/>
            </w:rPr>
            <w:t>3.5.</w:t>
          </w:r>
          <w:r>
            <w:rPr>
              <w:rStyle w:val="18"/>
            </w:rPr>
            <w:t>4</w:t>
          </w:r>
          <w:r>
            <w:rPr>
              <w:rStyle w:val="18"/>
              <w:rFonts w:hint="eastAsia"/>
            </w:rPr>
            <w:t>社团活动情况</w:t>
          </w:r>
          <w:r>
            <w:tab/>
          </w:r>
          <w:r>
            <w:fldChar w:fldCharType="begin"/>
          </w:r>
          <w:r>
            <w:instrText xml:space="preserve"> PAGEREF _Toc29995171 \h </w:instrText>
          </w:r>
          <w:r>
            <w:fldChar w:fldCharType="separate"/>
          </w:r>
          <w:r>
            <w:t>55</w:t>
          </w:r>
          <w:r>
            <w:fldChar w:fldCharType="end"/>
          </w:r>
          <w:r>
            <w:fldChar w:fldCharType="end"/>
          </w:r>
        </w:p>
        <w:p>
          <w:pPr>
            <w:pStyle w:val="5"/>
            <w:tabs>
              <w:tab w:val="right" w:leader="dot" w:pos="9060"/>
            </w:tabs>
            <w:ind w:left="960" w:firstLine="480"/>
          </w:pPr>
          <w:r>
            <w:fldChar w:fldCharType="begin"/>
          </w:r>
          <w:r>
            <w:instrText xml:space="preserve"> HYPERLINK \l "_Toc29995172" </w:instrText>
          </w:r>
          <w:r>
            <w:fldChar w:fldCharType="separate"/>
          </w:r>
          <w:r>
            <w:rPr>
              <w:rStyle w:val="18"/>
              <w:kern w:val="0"/>
            </w:rPr>
            <w:t>3.5.5</w:t>
          </w:r>
          <w:r>
            <w:rPr>
              <w:rStyle w:val="18"/>
              <w:rFonts w:hint="eastAsia"/>
              <w:kern w:val="0"/>
            </w:rPr>
            <w:t>团组织学生会建设及活动情况</w:t>
          </w:r>
          <w:r>
            <w:tab/>
          </w:r>
          <w:r>
            <w:fldChar w:fldCharType="begin"/>
          </w:r>
          <w:r>
            <w:instrText xml:space="preserve"> PAGEREF _Toc29995172 \h </w:instrText>
          </w:r>
          <w:r>
            <w:fldChar w:fldCharType="separate"/>
          </w:r>
          <w:r>
            <w:t>55</w:t>
          </w:r>
          <w:r>
            <w:fldChar w:fldCharType="end"/>
          </w:r>
          <w:r>
            <w:fldChar w:fldCharType="end"/>
          </w:r>
        </w:p>
        <w:p>
          <w:pPr>
            <w:pStyle w:val="12"/>
            <w:tabs>
              <w:tab w:val="right" w:leader="dot" w:pos="9060"/>
            </w:tabs>
            <w:ind w:left="480" w:firstLine="480"/>
          </w:pPr>
          <w:r>
            <w:fldChar w:fldCharType="begin"/>
          </w:r>
          <w:r>
            <w:instrText xml:space="preserve"> HYPERLINK \l "_Toc29995173" </w:instrText>
          </w:r>
          <w:r>
            <w:fldChar w:fldCharType="separate"/>
          </w:r>
          <w:r>
            <w:rPr>
              <w:rStyle w:val="18"/>
              <w:kern w:val="0"/>
            </w:rPr>
            <w:t>3.6</w:t>
          </w:r>
          <w:r>
            <w:rPr>
              <w:rStyle w:val="18"/>
              <w:rFonts w:hint="eastAsia"/>
              <w:kern w:val="0"/>
            </w:rPr>
            <w:t>党建情况</w:t>
          </w:r>
          <w:r>
            <w:tab/>
          </w:r>
          <w:r>
            <w:fldChar w:fldCharType="begin"/>
          </w:r>
          <w:r>
            <w:instrText xml:space="preserve"> PAGEREF _Toc29995173 \h </w:instrText>
          </w:r>
          <w:r>
            <w:fldChar w:fldCharType="separate"/>
          </w:r>
          <w:r>
            <w:t>56</w:t>
          </w:r>
          <w:r>
            <w:fldChar w:fldCharType="end"/>
          </w:r>
          <w:r>
            <w:fldChar w:fldCharType="end"/>
          </w:r>
        </w:p>
        <w:p>
          <w:pPr>
            <w:pStyle w:val="5"/>
            <w:tabs>
              <w:tab w:val="right" w:leader="dot" w:pos="9060"/>
            </w:tabs>
            <w:ind w:left="960" w:firstLine="480"/>
          </w:pPr>
          <w:r>
            <w:fldChar w:fldCharType="begin"/>
          </w:r>
          <w:r>
            <w:instrText xml:space="preserve"> HYPERLINK \l "_Toc29995174" </w:instrText>
          </w:r>
          <w:r>
            <w:fldChar w:fldCharType="separate"/>
          </w:r>
          <w:r>
            <w:rPr>
              <w:rStyle w:val="18"/>
            </w:rPr>
            <w:t>3.6.1</w:t>
          </w:r>
          <w:r>
            <w:rPr>
              <w:rStyle w:val="18"/>
              <w:rFonts w:hint="eastAsia"/>
            </w:rPr>
            <w:t>依托学习载体，提升理论素养</w:t>
          </w:r>
          <w:r>
            <w:tab/>
          </w:r>
          <w:r>
            <w:fldChar w:fldCharType="begin"/>
          </w:r>
          <w:r>
            <w:instrText xml:space="preserve"> PAGEREF _Toc29995174 \h </w:instrText>
          </w:r>
          <w:r>
            <w:fldChar w:fldCharType="separate"/>
          </w:r>
          <w:r>
            <w:t>56</w:t>
          </w:r>
          <w:r>
            <w:fldChar w:fldCharType="end"/>
          </w:r>
          <w:r>
            <w:fldChar w:fldCharType="end"/>
          </w:r>
        </w:p>
        <w:p>
          <w:pPr>
            <w:pStyle w:val="5"/>
            <w:tabs>
              <w:tab w:val="right" w:leader="dot" w:pos="9060"/>
            </w:tabs>
            <w:ind w:left="960" w:firstLine="480"/>
          </w:pPr>
          <w:r>
            <w:fldChar w:fldCharType="begin"/>
          </w:r>
          <w:r>
            <w:instrText xml:space="preserve"> HYPERLINK \l "_Toc29995178" </w:instrText>
          </w:r>
          <w:r>
            <w:fldChar w:fldCharType="separate"/>
          </w:r>
          <w:r>
            <w:rPr>
              <w:rStyle w:val="18"/>
            </w:rPr>
            <w:t>3.6.2</w:t>
          </w:r>
          <w:r>
            <w:rPr>
              <w:rStyle w:val="18"/>
              <w:rFonts w:hint="eastAsia"/>
            </w:rPr>
            <w:t>加强教育管理，促进组织建设</w:t>
          </w:r>
          <w:r>
            <w:tab/>
          </w:r>
          <w:r>
            <w:fldChar w:fldCharType="begin"/>
          </w:r>
          <w:r>
            <w:instrText xml:space="preserve"> PAGEREF _Toc29995178 \h </w:instrText>
          </w:r>
          <w:r>
            <w:fldChar w:fldCharType="separate"/>
          </w:r>
          <w:r>
            <w:t>57</w:t>
          </w:r>
          <w:r>
            <w:fldChar w:fldCharType="end"/>
          </w:r>
          <w:r>
            <w:fldChar w:fldCharType="end"/>
          </w:r>
        </w:p>
        <w:p>
          <w:pPr>
            <w:pStyle w:val="5"/>
            <w:tabs>
              <w:tab w:val="right" w:leader="dot" w:pos="9060"/>
            </w:tabs>
            <w:ind w:left="960" w:firstLine="480"/>
          </w:pPr>
          <w:r>
            <w:fldChar w:fldCharType="begin"/>
          </w:r>
          <w:r>
            <w:instrText xml:space="preserve"> HYPERLINK \l "_Toc29995182" </w:instrText>
          </w:r>
          <w:r>
            <w:fldChar w:fldCharType="separate"/>
          </w:r>
          <w:r>
            <w:rPr>
              <w:rStyle w:val="18"/>
            </w:rPr>
            <w:t>3.6.3</w:t>
          </w:r>
          <w:r>
            <w:rPr>
              <w:rStyle w:val="18"/>
              <w:rFonts w:hint="eastAsia"/>
            </w:rPr>
            <w:t>重视文明创建，提升学校内涵</w:t>
          </w:r>
          <w:r>
            <w:tab/>
          </w:r>
          <w:r>
            <w:fldChar w:fldCharType="begin"/>
          </w:r>
          <w:r>
            <w:instrText xml:space="preserve"> PAGEREF _Toc29995182 \h </w:instrText>
          </w:r>
          <w:r>
            <w:fldChar w:fldCharType="separate"/>
          </w:r>
          <w:r>
            <w:t>58</w:t>
          </w:r>
          <w:r>
            <w:fldChar w:fldCharType="end"/>
          </w:r>
          <w:r>
            <w:fldChar w:fldCharType="end"/>
          </w:r>
        </w:p>
        <w:p>
          <w:pPr>
            <w:pStyle w:val="12"/>
            <w:tabs>
              <w:tab w:val="right" w:leader="dot" w:pos="9060"/>
            </w:tabs>
            <w:ind w:left="480" w:firstLine="480"/>
          </w:pPr>
          <w:r>
            <w:fldChar w:fldCharType="begin"/>
          </w:r>
          <w:r>
            <w:instrText xml:space="preserve"> HYPERLINK \l "_Toc29995183" </w:instrText>
          </w:r>
          <w:r>
            <w:fldChar w:fldCharType="separate"/>
          </w:r>
          <w:r>
            <w:rPr>
              <w:rStyle w:val="18"/>
            </w:rPr>
            <w:t>3.6.3.1</w:t>
          </w:r>
          <w:r>
            <w:rPr>
              <w:rStyle w:val="18"/>
              <w:rFonts w:hint="eastAsia"/>
            </w:rPr>
            <w:t>落实师德规范，加强师德建设</w:t>
          </w:r>
          <w:r>
            <w:tab/>
          </w:r>
          <w:r>
            <w:fldChar w:fldCharType="begin"/>
          </w:r>
          <w:r>
            <w:instrText xml:space="preserve"> PAGEREF _Toc29995183 \h </w:instrText>
          </w:r>
          <w:r>
            <w:fldChar w:fldCharType="separate"/>
          </w:r>
          <w:r>
            <w:t>58</w:t>
          </w:r>
          <w:r>
            <w:fldChar w:fldCharType="end"/>
          </w:r>
          <w:r>
            <w:fldChar w:fldCharType="end"/>
          </w:r>
        </w:p>
        <w:p>
          <w:pPr>
            <w:pStyle w:val="9"/>
            <w:tabs>
              <w:tab w:val="right" w:leader="dot" w:pos="9060"/>
            </w:tabs>
            <w:ind w:firstLine="480"/>
          </w:pPr>
          <w:r>
            <w:fldChar w:fldCharType="begin"/>
          </w:r>
          <w:r>
            <w:instrText xml:space="preserve"> HYPERLINK \l "_Toc29995184" </w:instrText>
          </w:r>
          <w:r>
            <w:fldChar w:fldCharType="separate"/>
          </w:r>
          <w:r>
            <w:rPr>
              <w:rStyle w:val="18"/>
            </w:rPr>
            <w:t>4.</w:t>
          </w:r>
          <w:r>
            <w:rPr>
              <w:rStyle w:val="18"/>
              <w:rFonts w:hint="eastAsia"/>
            </w:rPr>
            <w:t>校企合作</w:t>
          </w:r>
          <w:r>
            <w:tab/>
          </w:r>
          <w:r>
            <w:fldChar w:fldCharType="begin"/>
          </w:r>
          <w:r>
            <w:instrText xml:space="preserve"> PAGEREF _Toc29995184 \h </w:instrText>
          </w:r>
          <w:r>
            <w:fldChar w:fldCharType="separate"/>
          </w:r>
          <w:r>
            <w:t>58</w:t>
          </w:r>
          <w:r>
            <w:fldChar w:fldCharType="end"/>
          </w:r>
          <w:r>
            <w:fldChar w:fldCharType="end"/>
          </w:r>
        </w:p>
        <w:p>
          <w:pPr>
            <w:pStyle w:val="12"/>
            <w:tabs>
              <w:tab w:val="right" w:leader="dot" w:pos="9060"/>
            </w:tabs>
            <w:ind w:left="480" w:firstLine="480"/>
          </w:pPr>
          <w:r>
            <w:fldChar w:fldCharType="begin"/>
          </w:r>
          <w:r>
            <w:instrText xml:space="preserve"> HYPERLINK \l "_Toc29995185" </w:instrText>
          </w:r>
          <w:r>
            <w:fldChar w:fldCharType="separate"/>
          </w:r>
          <w:r>
            <w:rPr>
              <w:rStyle w:val="18"/>
            </w:rPr>
            <w:t>4.1</w:t>
          </w:r>
          <w:r>
            <w:rPr>
              <w:rStyle w:val="18"/>
              <w:rFonts w:hint="eastAsia"/>
            </w:rPr>
            <w:t>校企合作开展情况和效果</w:t>
          </w:r>
          <w:r>
            <w:tab/>
          </w:r>
          <w:r>
            <w:fldChar w:fldCharType="begin"/>
          </w:r>
          <w:r>
            <w:instrText xml:space="preserve"> PAGEREF _Toc29995185 \h </w:instrText>
          </w:r>
          <w:r>
            <w:fldChar w:fldCharType="separate"/>
          </w:r>
          <w:r>
            <w:t>58</w:t>
          </w:r>
          <w:r>
            <w:fldChar w:fldCharType="end"/>
          </w:r>
          <w:r>
            <w:fldChar w:fldCharType="end"/>
          </w:r>
        </w:p>
        <w:p>
          <w:pPr>
            <w:pStyle w:val="5"/>
            <w:tabs>
              <w:tab w:val="right" w:leader="dot" w:pos="9060"/>
            </w:tabs>
            <w:ind w:left="960" w:firstLine="480"/>
          </w:pPr>
          <w:r>
            <w:fldChar w:fldCharType="begin"/>
          </w:r>
          <w:r>
            <w:instrText xml:space="preserve"> HYPERLINK \l "_Toc29995186" </w:instrText>
          </w:r>
          <w:r>
            <w:fldChar w:fldCharType="separate"/>
          </w:r>
          <w:r>
            <w:rPr>
              <w:rStyle w:val="18"/>
            </w:rPr>
            <w:t>4.1.1</w:t>
          </w:r>
          <w:r>
            <w:rPr>
              <w:rStyle w:val="18"/>
              <w:rFonts w:hint="eastAsia"/>
            </w:rPr>
            <w:t>校企合作开展情况</w:t>
          </w:r>
          <w:r>
            <w:tab/>
          </w:r>
          <w:r>
            <w:fldChar w:fldCharType="begin"/>
          </w:r>
          <w:r>
            <w:instrText xml:space="preserve"> PAGEREF _Toc29995186 \h </w:instrText>
          </w:r>
          <w:r>
            <w:fldChar w:fldCharType="separate"/>
          </w:r>
          <w:r>
            <w:t>58</w:t>
          </w:r>
          <w:r>
            <w:fldChar w:fldCharType="end"/>
          </w:r>
          <w:r>
            <w:fldChar w:fldCharType="end"/>
          </w:r>
        </w:p>
        <w:p>
          <w:pPr>
            <w:pStyle w:val="5"/>
            <w:tabs>
              <w:tab w:val="right" w:leader="dot" w:pos="9060"/>
            </w:tabs>
            <w:ind w:left="960" w:firstLine="480"/>
          </w:pPr>
          <w:r>
            <w:fldChar w:fldCharType="begin"/>
          </w:r>
          <w:r>
            <w:instrText xml:space="preserve"> HYPERLINK \l "_Toc29995187" </w:instrText>
          </w:r>
          <w:r>
            <w:fldChar w:fldCharType="separate"/>
          </w:r>
          <w:r>
            <w:rPr>
              <w:rStyle w:val="18"/>
            </w:rPr>
            <w:t>4.1.2</w:t>
          </w:r>
          <w:r>
            <w:rPr>
              <w:rStyle w:val="18"/>
              <w:rFonts w:hint="eastAsia"/>
            </w:rPr>
            <w:t>校企合作效果</w:t>
          </w:r>
          <w:r>
            <w:tab/>
          </w:r>
          <w:r>
            <w:fldChar w:fldCharType="begin"/>
          </w:r>
          <w:r>
            <w:instrText xml:space="preserve"> PAGEREF _Toc29995187 \h </w:instrText>
          </w:r>
          <w:r>
            <w:fldChar w:fldCharType="separate"/>
          </w:r>
          <w:r>
            <w:t>62</w:t>
          </w:r>
          <w:r>
            <w:fldChar w:fldCharType="end"/>
          </w:r>
          <w:r>
            <w:fldChar w:fldCharType="end"/>
          </w:r>
        </w:p>
        <w:p>
          <w:pPr>
            <w:pStyle w:val="12"/>
            <w:tabs>
              <w:tab w:val="right" w:leader="dot" w:pos="9060"/>
            </w:tabs>
            <w:ind w:left="480" w:firstLine="480"/>
          </w:pPr>
          <w:r>
            <w:fldChar w:fldCharType="begin"/>
          </w:r>
          <w:r>
            <w:instrText xml:space="preserve"> HYPERLINK \l "_Toc29995191" </w:instrText>
          </w:r>
          <w:r>
            <w:fldChar w:fldCharType="separate"/>
          </w:r>
          <w:r>
            <w:rPr>
              <w:rStyle w:val="18"/>
            </w:rPr>
            <w:t>4.2</w:t>
          </w:r>
          <w:r>
            <w:rPr>
              <w:rStyle w:val="18"/>
              <w:rFonts w:hint="eastAsia"/>
            </w:rPr>
            <w:t>学生（顶岗）实习情况</w:t>
          </w:r>
          <w:r>
            <w:tab/>
          </w:r>
          <w:r>
            <w:fldChar w:fldCharType="begin"/>
          </w:r>
          <w:r>
            <w:instrText xml:space="preserve"> PAGEREF _Toc29995191 \h </w:instrText>
          </w:r>
          <w:r>
            <w:fldChar w:fldCharType="separate"/>
          </w:r>
          <w:r>
            <w:t>65</w:t>
          </w:r>
          <w:r>
            <w:fldChar w:fldCharType="end"/>
          </w:r>
          <w:r>
            <w:fldChar w:fldCharType="end"/>
          </w:r>
        </w:p>
        <w:p>
          <w:pPr>
            <w:pStyle w:val="12"/>
            <w:tabs>
              <w:tab w:val="right" w:leader="dot" w:pos="9060"/>
            </w:tabs>
            <w:ind w:left="480" w:firstLine="480"/>
          </w:pPr>
          <w:r>
            <w:fldChar w:fldCharType="begin"/>
          </w:r>
          <w:r>
            <w:instrText xml:space="preserve"> HYPERLINK \l "_Toc29995192" </w:instrText>
          </w:r>
          <w:r>
            <w:fldChar w:fldCharType="separate"/>
          </w:r>
          <w:r>
            <w:rPr>
              <w:rStyle w:val="18"/>
            </w:rPr>
            <w:t>4.3</w:t>
          </w:r>
          <w:r>
            <w:rPr>
              <w:rStyle w:val="18"/>
              <w:rFonts w:hint="eastAsia"/>
            </w:rPr>
            <w:t>集团化办学情况</w:t>
          </w:r>
          <w:r>
            <w:tab/>
          </w:r>
          <w:r>
            <w:fldChar w:fldCharType="begin"/>
          </w:r>
          <w:r>
            <w:instrText xml:space="preserve"> PAGEREF _Toc29995192 \h </w:instrText>
          </w:r>
          <w:r>
            <w:fldChar w:fldCharType="separate"/>
          </w:r>
          <w:r>
            <w:t>66</w:t>
          </w:r>
          <w:r>
            <w:fldChar w:fldCharType="end"/>
          </w:r>
          <w:r>
            <w:fldChar w:fldCharType="end"/>
          </w:r>
        </w:p>
        <w:p>
          <w:pPr>
            <w:pStyle w:val="9"/>
            <w:tabs>
              <w:tab w:val="right" w:leader="dot" w:pos="9060"/>
            </w:tabs>
            <w:ind w:firstLine="480"/>
          </w:pPr>
          <w:r>
            <w:fldChar w:fldCharType="begin"/>
          </w:r>
          <w:r>
            <w:instrText xml:space="preserve"> HYPERLINK \l "_Toc29995193" </w:instrText>
          </w:r>
          <w:r>
            <w:fldChar w:fldCharType="separate"/>
          </w:r>
          <w:r>
            <w:rPr>
              <w:rStyle w:val="18"/>
            </w:rPr>
            <w:t>5.</w:t>
          </w:r>
          <w:r>
            <w:rPr>
              <w:rStyle w:val="18"/>
              <w:rFonts w:hint="eastAsia"/>
            </w:rPr>
            <w:t>社会贡献</w:t>
          </w:r>
          <w:r>
            <w:tab/>
          </w:r>
          <w:r>
            <w:fldChar w:fldCharType="begin"/>
          </w:r>
          <w:r>
            <w:instrText xml:space="preserve"> PAGEREF _Toc29995193 \h </w:instrText>
          </w:r>
          <w:r>
            <w:fldChar w:fldCharType="separate"/>
          </w:r>
          <w:r>
            <w:t>67</w:t>
          </w:r>
          <w:r>
            <w:fldChar w:fldCharType="end"/>
          </w:r>
          <w:r>
            <w:fldChar w:fldCharType="end"/>
          </w:r>
        </w:p>
        <w:p>
          <w:pPr>
            <w:pStyle w:val="12"/>
            <w:tabs>
              <w:tab w:val="right" w:leader="dot" w:pos="9060"/>
            </w:tabs>
            <w:ind w:left="480" w:firstLine="480"/>
          </w:pPr>
          <w:r>
            <w:fldChar w:fldCharType="begin"/>
          </w:r>
          <w:r>
            <w:instrText xml:space="preserve"> HYPERLINK \l "_Toc29995194" </w:instrText>
          </w:r>
          <w:r>
            <w:fldChar w:fldCharType="separate"/>
          </w:r>
          <w:r>
            <w:rPr>
              <w:rStyle w:val="18"/>
            </w:rPr>
            <w:t>5.1</w:t>
          </w:r>
          <w:r>
            <w:rPr>
              <w:rStyle w:val="18"/>
              <w:rFonts w:hint="eastAsia"/>
            </w:rPr>
            <w:t>技术技能人才培养</w:t>
          </w:r>
          <w:r>
            <w:tab/>
          </w:r>
          <w:r>
            <w:fldChar w:fldCharType="begin"/>
          </w:r>
          <w:r>
            <w:instrText xml:space="preserve"> PAGEREF _Toc29995194 \h </w:instrText>
          </w:r>
          <w:r>
            <w:fldChar w:fldCharType="separate"/>
          </w:r>
          <w:r>
            <w:t>67</w:t>
          </w:r>
          <w:r>
            <w:fldChar w:fldCharType="end"/>
          </w:r>
          <w:r>
            <w:fldChar w:fldCharType="end"/>
          </w:r>
        </w:p>
        <w:p>
          <w:pPr>
            <w:pStyle w:val="5"/>
            <w:tabs>
              <w:tab w:val="right" w:leader="dot" w:pos="9060"/>
            </w:tabs>
            <w:ind w:left="960" w:firstLine="480"/>
          </w:pPr>
          <w:r>
            <w:fldChar w:fldCharType="begin"/>
          </w:r>
          <w:r>
            <w:instrText xml:space="preserve"> HYPERLINK \l "_Toc29995195" </w:instrText>
          </w:r>
          <w:r>
            <w:fldChar w:fldCharType="separate"/>
          </w:r>
          <w:r>
            <w:rPr>
              <w:rStyle w:val="18"/>
            </w:rPr>
            <w:t>5.1.1</w:t>
          </w:r>
          <w:r>
            <w:rPr>
              <w:rStyle w:val="18"/>
              <w:rFonts w:hint="eastAsia"/>
            </w:rPr>
            <w:t>毕业生评价</w:t>
          </w:r>
          <w:r>
            <w:tab/>
          </w:r>
          <w:r>
            <w:fldChar w:fldCharType="begin"/>
          </w:r>
          <w:r>
            <w:instrText xml:space="preserve"> PAGEREF _Toc29995195 \h </w:instrText>
          </w:r>
          <w:r>
            <w:fldChar w:fldCharType="separate"/>
          </w:r>
          <w:r>
            <w:t>67</w:t>
          </w:r>
          <w:r>
            <w:fldChar w:fldCharType="end"/>
          </w:r>
          <w:r>
            <w:fldChar w:fldCharType="end"/>
          </w:r>
        </w:p>
        <w:p>
          <w:pPr>
            <w:pStyle w:val="5"/>
            <w:tabs>
              <w:tab w:val="right" w:leader="dot" w:pos="9060"/>
            </w:tabs>
            <w:ind w:left="960" w:firstLine="480"/>
          </w:pPr>
          <w:r>
            <w:fldChar w:fldCharType="begin"/>
          </w:r>
          <w:r>
            <w:instrText xml:space="preserve"> HYPERLINK \l "_Toc29995196" </w:instrText>
          </w:r>
          <w:r>
            <w:fldChar w:fldCharType="separate"/>
          </w:r>
          <w:r>
            <w:rPr>
              <w:rStyle w:val="18"/>
            </w:rPr>
            <w:t>5.1.2</w:t>
          </w:r>
          <w:r>
            <w:rPr>
              <w:rStyle w:val="18"/>
              <w:rFonts w:hint="eastAsia"/>
            </w:rPr>
            <w:t>用人单位评价</w:t>
          </w:r>
          <w:r>
            <w:tab/>
          </w:r>
          <w:r>
            <w:fldChar w:fldCharType="begin"/>
          </w:r>
          <w:r>
            <w:instrText xml:space="preserve"> PAGEREF _Toc29995196 \h </w:instrText>
          </w:r>
          <w:r>
            <w:fldChar w:fldCharType="separate"/>
          </w:r>
          <w:r>
            <w:t>68</w:t>
          </w:r>
          <w:r>
            <w:fldChar w:fldCharType="end"/>
          </w:r>
          <w:r>
            <w:fldChar w:fldCharType="end"/>
          </w:r>
        </w:p>
        <w:p>
          <w:pPr>
            <w:pStyle w:val="12"/>
            <w:tabs>
              <w:tab w:val="right" w:leader="dot" w:pos="9060"/>
            </w:tabs>
            <w:ind w:left="480" w:firstLine="480"/>
          </w:pPr>
          <w:r>
            <w:fldChar w:fldCharType="begin"/>
          </w:r>
          <w:r>
            <w:instrText xml:space="preserve"> HYPERLINK \l "_Toc29995199" </w:instrText>
          </w:r>
          <w:r>
            <w:fldChar w:fldCharType="separate"/>
          </w:r>
          <w:r>
            <w:rPr>
              <w:rStyle w:val="18"/>
            </w:rPr>
            <w:t>5.2</w:t>
          </w:r>
          <w:r>
            <w:rPr>
              <w:rStyle w:val="18"/>
              <w:rFonts w:hint="eastAsia"/>
            </w:rPr>
            <w:t>对口支援</w:t>
          </w:r>
          <w:r>
            <w:tab/>
          </w:r>
          <w:r>
            <w:fldChar w:fldCharType="begin"/>
          </w:r>
          <w:r>
            <w:instrText xml:space="preserve"> PAGEREF _Toc29995199 \h </w:instrText>
          </w:r>
          <w:r>
            <w:fldChar w:fldCharType="separate"/>
          </w:r>
          <w:r>
            <w:t>68</w:t>
          </w:r>
          <w:r>
            <w:fldChar w:fldCharType="end"/>
          </w:r>
          <w:r>
            <w:fldChar w:fldCharType="end"/>
          </w:r>
        </w:p>
        <w:p>
          <w:pPr>
            <w:pStyle w:val="9"/>
            <w:tabs>
              <w:tab w:val="right" w:leader="dot" w:pos="9060"/>
            </w:tabs>
            <w:ind w:firstLine="480"/>
          </w:pPr>
          <w:r>
            <w:fldChar w:fldCharType="begin"/>
          </w:r>
          <w:r>
            <w:instrText xml:space="preserve"> HYPERLINK \l "_Toc29995200" </w:instrText>
          </w:r>
          <w:r>
            <w:fldChar w:fldCharType="separate"/>
          </w:r>
          <w:r>
            <w:rPr>
              <w:rStyle w:val="18"/>
            </w:rPr>
            <w:t>6.</w:t>
          </w:r>
          <w:r>
            <w:rPr>
              <w:rStyle w:val="18"/>
              <w:rFonts w:hint="eastAsia"/>
            </w:rPr>
            <w:t>举办者履责</w:t>
          </w:r>
          <w:r>
            <w:tab/>
          </w:r>
          <w:r>
            <w:fldChar w:fldCharType="begin"/>
          </w:r>
          <w:r>
            <w:instrText xml:space="preserve"> PAGEREF _Toc29995200 \h </w:instrText>
          </w:r>
          <w:r>
            <w:fldChar w:fldCharType="separate"/>
          </w:r>
          <w:r>
            <w:t>68</w:t>
          </w:r>
          <w:r>
            <w:fldChar w:fldCharType="end"/>
          </w:r>
          <w:r>
            <w:fldChar w:fldCharType="end"/>
          </w:r>
        </w:p>
        <w:p>
          <w:pPr>
            <w:pStyle w:val="12"/>
            <w:tabs>
              <w:tab w:val="right" w:leader="dot" w:pos="9060"/>
            </w:tabs>
            <w:ind w:left="480" w:firstLine="480"/>
          </w:pPr>
          <w:r>
            <w:fldChar w:fldCharType="begin"/>
          </w:r>
          <w:r>
            <w:instrText xml:space="preserve"> HYPERLINK \l "_Toc29995201" </w:instrText>
          </w:r>
          <w:r>
            <w:fldChar w:fldCharType="separate"/>
          </w:r>
          <w:r>
            <w:rPr>
              <w:rStyle w:val="18"/>
              <w:kern w:val="0"/>
            </w:rPr>
            <w:t>6.1</w:t>
          </w:r>
          <w:r>
            <w:rPr>
              <w:rStyle w:val="18"/>
              <w:rFonts w:hint="eastAsia"/>
              <w:kern w:val="0"/>
            </w:rPr>
            <w:t>经费</w:t>
          </w:r>
          <w:r>
            <w:tab/>
          </w:r>
          <w:r>
            <w:fldChar w:fldCharType="begin"/>
          </w:r>
          <w:r>
            <w:instrText xml:space="preserve"> PAGEREF _Toc29995201 \h </w:instrText>
          </w:r>
          <w:r>
            <w:fldChar w:fldCharType="separate"/>
          </w:r>
          <w:r>
            <w:t>68</w:t>
          </w:r>
          <w:r>
            <w:fldChar w:fldCharType="end"/>
          </w:r>
          <w:r>
            <w:fldChar w:fldCharType="end"/>
          </w:r>
        </w:p>
        <w:p>
          <w:pPr>
            <w:pStyle w:val="12"/>
            <w:tabs>
              <w:tab w:val="right" w:leader="dot" w:pos="9060"/>
            </w:tabs>
            <w:ind w:left="480" w:firstLine="480"/>
          </w:pPr>
          <w:r>
            <w:fldChar w:fldCharType="begin"/>
          </w:r>
          <w:r>
            <w:instrText xml:space="preserve"> HYPERLINK \l "_Toc29995202" </w:instrText>
          </w:r>
          <w:r>
            <w:fldChar w:fldCharType="separate"/>
          </w:r>
          <w:r>
            <w:rPr>
              <w:rStyle w:val="18"/>
              <w:kern w:val="0"/>
            </w:rPr>
            <w:t xml:space="preserve">6.2 </w:t>
          </w:r>
          <w:r>
            <w:rPr>
              <w:rStyle w:val="18"/>
              <w:rFonts w:hint="eastAsia"/>
              <w:kern w:val="0"/>
            </w:rPr>
            <w:t>政策措施</w:t>
          </w:r>
          <w:r>
            <w:tab/>
          </w:r>
          <w:r>
            <w:fldChar w:fldCharType="begin"/>
          </w:r>
          <w:r>
            <w:instrText xml:space="preserve"> PAGEREF _Toc29995202 \h </w:instrText>
          </w:r>
          <w:r>
            <w:fldChar w:fldCharType="separate"/>
          </w:r>
          <w:r>
            <w:t>69</w:t>
          </w:r>
          <w:r>
            <w:fldChar w:fldCharType="end"/>
          </w:r>
          <w:r>
            <w:fldChar w:fldCharType="end"/>
          </w:r>
        </w:p>
        <w:p>
          <w:pPr>
            <w:pStyle w:val="5"/>
            <w:tabs>
              <w:tab w:val="right" w:leader="dot" w:pos="9060"/>
            </w:tabs>
            <w:ind w:left="960" w:firstLine="480"/>
          </w:pPr>
          <w:r>
            <w:fldChar w:fldCharType="begin"/>
          </w:r>
          <w:r>
            <w:instrText xml:space="preserve"> HYPERLINK \l "_Toc29995203" </w:instrText>
          </w:r>
          <w:r>
            <w:fldChar w:fldCharType="separate"/>
          </w:r>
          <w:r>
            <w:rPr>
              <w:rStyle w:val="18"/>
            </w:rPr>
            <w:t>6.2.1</w:t>
          </w:r>
          <w:r>
            <w:rPr>
              <w:rStyle w:val="18"/>
              <w:rFonts w:hint="eastAsia"/>
            </w:rPr>
            <w:t>落实办学自主权</w:t>
          </w:r>
          <w:r>
            <w:tab/>
          </w:r>
          <w:r>
            <w:fldChar w:fldCharType="begin"/>
          </w:r>
          <w:r>
            <w:instrText xml:space="preserve"> PAGEREF _Toc29995203 \h </w:instrText>
          </w:r>
          <w:r>
            <w:fldChar w:fldCharType="separate"/>
          </w:r>
          <w:r>
            <w:t>69</w:t>
          </w:r>
          <w:r>
            <w:fldChar w:fldCharType="end"/>
          </w:r>
          <w:r>
            <w:fldChar w:fldCharType="end"/>
          </w:r>
        </w:p>
        <w:p>
          <w:pPr>
            <w:pStyle w:val="5"/>
            <w:tabs>
              <w:tab w:val="right" w:leader="dot" w:pos="9060"/>
            </w:tabs>
            <w:ind w:left="960" w:firstLine="480"/>
          </w:pPr>
          <w:r>
            <w:fldChar w:fldCharType="begin"/>
          </w:r>
          <w:r>
            <w:instrText xml:space="preserve"> HYPERLINK \l "_Toc29995204" </w:instrText>
          </w:r>
          <w:r>
            <w:fldChar w:fldCharType="separate"/>
          </w:r>
          <w:r>
            <w:rPr>
              <w:rStyle w:val="18"/>
              <w:kern w:val="0"/>
            </w:rPr>
            <w:t>6.2.2</w:t>
          </w:r>
          <w:r>
            <w:rPr>
              <w:rStyle w:val="18"/>
              <w:rFonts w:hint="eastAsia"/>
              <w:kern w:val="0"/>
            </w:rPr>
            <w:t>落实教师编制</w:t>
          </w:r>
          <w:r>
            <w:tab/>
          </w:r>
          <w:r>
            <w:fldChar w:fldCharType="begin"/>
          </w:r>
          <w:r>
            <w:instrText xml:space="preserve"> PAGEREF _Toc29995204 \h </w:instrText>
          </w:r>
          <w:r>
            <w:fldChar w:fldCharType="separate"/>
          </w:r>
          <w:r>
            <w:t>69</w:t>
          </w:r>
          <w:r>
            <w:fldChar w:fldCharType="end"/>
          </w:r>
          <w:r>
            <w:fldChar w:fldCharType="end"/>
          </w:r>
        </w:p>
        <w:p>
          <w:pPr>
            <w:pStyle w:val="5"/>
            <w:tabs>
              <w:tab w:val="right" w:leader="dot" w:pos="9060"/>
            </w:tabs>
            <w:ind w:left="960" w:firstLine="480"/>
          </w:pPr>
          <w:r>
            <w:fldChar w:fldCharType="begin"/>
          </w:r>
          <w:r>
            <w:instrText xml:space="preserve"> HYPERLINK \l "_Toc29995205" </w:instrText>
          </w:r>
          <w:r>
            <w:fldChar w:fldCharType="separate"/>
          </w:r>
          <w:r>
            <w:rPr>
              <w:rStyle w:val="18"/>
              <w:kern w:val="0"/>
            </w:rPr>
            <w:t>6.2.3</w:t>
          </w:r>
          <w:r>
            <w:rPr>
              <w:rStyle w:val="18"/>
              <w:rFonts w:hint="eastAsia"/>
              <w:kern w:val="0"/>
            </w:rPr>
            <w:t>政策和制度</w:t>
          </w:r>
          <w:r>
            <w:tab/>
          </w:r>
          <w:r>
            <w:fldChar w:fldCharType="begin"/>
          </w:r>
          <w:r>
            <w:instrText xml:space="preserve"> PAGEREF _Toc29995205 \h </w:instrText>
          </w:r>
          <w:r>
            <w:fldChar w:fldCharType="separate"/>
          </w:r>
          <w:r>
            <w:t>70</w:t>
          </w:r>
          <w:r>
            <w:fldChar w:fldCharType="end"/>
          </w:r>
          <w:r>
            <w:fldChar w:fldCharType="end"/>
          </w:r>
        </w:p>
        <w:p>
          <w:pPr>
            <w:pStyle w:val="9"/>
            <w:tabs>
              <w:tab w:val="right" w:leader="dot" w:pos="9060"/>
            </w:tabs>
            <w:ind w:firstLine="480"/>
          </w:pPr>
          <w:r>
            <w:fldChar w:fldCharType="begin"/>
          </w:r>
          <w:r>
            <w:instrText xml:space="preserve"> HYPERLINK \l "_Toc29995206" </w:instrText>
          </w:r>
          <w:r>
            <w:fldChar w:fldCharType="separate"/>
          </w:r>
          <w:r>
            <w:rPr>
              <w:rStyle w:val="18"/>
            </w:rPr>
            <w:t>7.</w:t>
          </w:r>
          <w:r>
            <w:rPr>
              <w:rStyle w:val="18"/>
              <w:rFonts w:hint="eastAsia"/>
            </w:rPr>
            <w:t>特色创新</w:t>
          </w:r>
          <w:r>
            <w:tab/>
          </w:r>
          <w:r>
            <w:fldChar w:fldCharType="begin"/>
          </w:r>
          <w:r>
            <w:instrText xml:space="preserve"> PAGEREF _Toc29995206 \h </w:instrText>
          </w:r>
          <w:r>
            <w:fldChar w:fldCharType="separate"/>
          </w:r>
          <w:r>
            <w:t>70</w:t>
          </w:r>
          <w:r>
            <w:fldChar w:fldCharType="end"/>
          </w:r>
          <w:r>
            <w:fldChar w:fldCharType="end"/>
          </w:r>
        </w:p>
        <w:p>
          <w:pPr>
            <w:pStyle w:val="12"/>
            <w:tabs>
              <w:tab w:val="right" w:leader="dot" w:pos="9060"/>
            </w:tabs>
            <w:ind w:left="480" w:firstLine="480"/>
          </w:pPr>
          <w:r>
            <w:fldChar w:fldCharType="begin"/>
          </w:r>
          <w:r>
            <w:instrText xml:space="preserve"> HYPERLINK \l "_Toc29995207" </w:instrText>
          </w:r>
          <w:r>
            <w:fldChar w:fldCharType="separate"/>
          </w:r>
          <w:r>
            <w:rPr>
              <w:rStyle w:val="18"/>
              <w:kern w:val="0"/>
            </w:rPr>
            <w:t>7.1</w:t>
          </w:r>
          <w:r>
            <w:rPr>
              <w:rStyle w:val="18"/>
              <w:rFonts w:hint="eastAsia"/>
              <w:kern w:val="0"/>
            </w:rPr>
            <w:t>创新人才培养模式</w:t>
          </w:r>
          <w:r>
            <w:tab/>
          </w:r>
          <w:r>
            <w:fldChar w:fldCharType="begin"/>
          </w:r>
          <w:r>
            <w:instrText xml:space="preserve"> PAGEREF _Toc29995207 \h </w:instrText>
          </w:r>
          <w:r>
            <w:fldChar w:fldCharType="separate"/>
          </w:r>
          <w:r>
            <w:t>70</w:t>
          </w:r>
          <w:r>
            <w:fldChar w:fldCharType="end"/>
          </w:r>
          <w:r>
            <w:fldChar w:fldCharType="end"/>
          </w:r>
        </w:p>
        <w:p>
          <w:pPr>
            <w:pStyle w:val="12"/>
            <w:tabs>
              <w:tab w:val="right" w:leader="dot" w:pos="9060"/>
            </w:tabs>
            <w:ind w:left="480" w:firstLine="480"/>
          </w:pPr>
          <w:r>
            <w:fldChar w:fldCharType="begin"/>
          </w:r>
          <w:r>
            <w:instrText xml:space="preserve"> HYPERLINK \l "_Toc29995208" </w:instrText>
          </w:r>
          <w:r>
            <w:fldChar w:fldCharType="separate"/>
          </w:r>
          <w:r>
            <w:rPr>
              <w:rStyle w:val="18"/>
              <w:kern w:val="0"/>
            </w:rPr>
            <w:t xml:space="preserve">7.2 </w:t>
          </w:r>
          <w:r>
            <w:rPr>
              <w:rStyle w:val="18"/>
              <w:rFonts w:hint="eastAsia"/>
              <w:kern w:val="0"/>
            </w:rPr>
            <w:t>创新校园文化建设</w:t>
          </w:r>
          <w:r>
            <w:tab/>
          </w:r>
          <w:r>
            <w:fldChar w:fldCharType="begin"/>
          </w:r>
          <w:r>
            <w:instrText xml:space="preserve"> PAGEREF _Toc29995208 \h </w:instrText>
          </w:r>
          <w:r>
            <w:fldChar w:fldCharType="separate"/>
          </w:r>
          <w:r>
            <w:t>77</w:t>
          </w:r>
          <w:r>
            <w:fldChar w:fldCharType="end"/>
          </w:r>
          <w:r>
            <w:fldChar w:fldCharType="end"/>
          </w:r>
        </w:p>
        <w:p>
          <w:pPr>
            <w:pStyle w:val="9"/>
            <w:tabs>
              <w:tab w:val="right" w:leader="dot" w:pos="9060"/>
            </w:tabs>
            <w:ind w:firstLine="480"/>
          </w:pPr>
          <w:r>
            <w:fldChar w:fldCharType="begin"/>
          </w:r>
          <w:r>
            <w:instrText xml:space="preserve"> HYPERLINK \l "_Toc29995211" </w:instrText>
          </w:r>
          <w:r>
            <w:fldChar w:fldCharType="separate"/>
          </w:r>
          <w:r>
            <w:rPr>
              <w:rStyle w:val="18"/>
            </w:rPr>
            <w:t>8.</w:t>
          </w:r>
          <w:r>
            <w:rPr>
              <w:rStyle w:val="18"/>
              <w:rFonts w:hint="eastAsia"/>
            </w:rPr>
            <w:t>在人才培养上存在的问题及改进的措施</w:t>
          </w:r>
          <w:r>
            <w:tab/>
          </w:r>
          <w:r>
            <w:fldChar w:fldCharType="begin"/>
          </w:r>
          <w:r>
            <w:instrText xml:space="preserve"> PAGEREF _Toc29995211 \h </w:instrText>
          </w:r>
          <w:r>
            <w:fldChar w:fldCharType="separate"/>
          </w:r>
          <w:r>
            <w:t>82</w:t>
          </w:r>
          <w:r>
            <w:fldChar w:fldCharType="end"/>
          </w:r>
          <w:r>
            <w:fldChar w:fldCharType="end"/>
          </w:r>
        </w:p>
        <w:p>
          <w:pPr>
            <w:pStyle w:val="12"/>
            <w:tabs>
              <w:tab w:val="right" w:leader="dot" w:pos="9060"/>
            </w:tabs>
            <w:ind w:left="480" w:firstLine="480"/>
          </w:pPr>
          <w:r>
            <w:fldChar w:fldCharType="begin"/>
          </w:r>
          <w:r>
            <w:instrText xml:space="preserve"> HYPERLINK \l "_Toc29995212" </w:instrText>
          </w:r>
          <w:r>
            <w:fldChar w:fldCharType="separate"/>
          </w:r>
          <w:r>
            <w:rPr>
              <w:rStyle w:val="18"/>
            </w:rPr>
            <w:t>8.1</w:t>
          </w:r>
          <w:r>
            <w:rPr>
              <w:rStyle w:val="18"/>
              <w:rFonts w:hint="eastAsia"/>
            </w:rPr>
            <w:t>存在问题</w:t>
          </w:r>
          <w:r>
            <w:tab/>
          </w:r>
          <w:r>
            <w:fldChar w:fldCharType="begin"/>
          </w:r>
          <w:r>
            <w:instrText xml:space="preserve"> PAGEREF _Toc29995212 \h </w:instrText>
          </w:r>
          <w:r>
            <w:fldChar w:fldCharType="separate"/>
          </w:r>
          <w:r>
            <w:t>82</w:t>
          </w:r>
          <w:r>
            <w:fldChar w:fldCharType="end"/>
          </w:r>
          <w:r>
            <w:fldChar w:fldCharType="end"/>
          </w:r>
        </w:p>
        <w:p>
          <w:pPr>
            <w:pStyle w:val="5"/>
            <w:tabs>
              <w:tab w:val="right" w:leader="dot" w:pos="9060"/>
            </w:tabs>
            <w:ind w:left="960" w:firstLine="480"/>
          </w:pPr>
          <w:r>
            <w:fldChar w:fldCharType="begin"/>
          </w:r>
          <w:r>
            <w:instrText xml:space="preserve"> HYPERLINK \l "_Toc29995213" </w:instrText>
          </w:r>
          <w:r>
            <w:fldChar w:fldCharType="separate"/>
          </w:r>
          <w:r>
            <w:rPr>
              <w:rStyle w:val="18"/>
            </w:rPr>
            <w:t>8.1.1</w:t>
          </w:r>
          <w:r>
            <w:rPr>
              <w:rStyle w:val="18"/>
              <w:rFonts w:hint="eastAsia"/>
            </w:rPr>
            <w:t>专业内涵建设仍有待加强</w:t>
          </w:r>
          <w:r>
            <w:tab/>
          </w:r>
          <w:r>
            <w:fldChar w:fldCharType="begin"/>
          </w:r>
          <w:r>
            <w:instrText xml:space="preserve"> PAGEREF _Toc29995213 \h </w:instrText>
          </w:r>
          <w:r>
            <w:fldChar w:fldCharType="separate"/>
          </w:r>
          <w:r>
            <w:t>82</w:t>
          </w:r>
          <w:r>
            <w:fldChar w:fldCharType="end"/>
          </w:r>
          <w:r>
            <w:fldChar w:fldCharType="end"/>
          </w:r>
        </w:p>
        <w:p>
          <w:pPr>
            <w:pStyle w:val="5"/>
            <w:tabs>
              <w:tab w:val="right" w:leader="dot" w:pos="9060"/>
            </w:tabs>
            <w:ind w:left="960" w:firstLine="480"/>
          </w:pPr>
          <w:r>
            <w:fldChar w:fldCharType="begin"/>
          </w:r>
          <w:r>
            <w:instrText xml:space="preserve"> HYPERLINK \l "_Toc29995214" </w:instrText>
          </w:r>
          <w:r>
            <w:fldChar w:fldCharType="separate"/>
          </w:r>
          <w:r>
            <w:rPr>
              <w:rStyle w:val="18"/>
              <w:kern w:val="0"/>
            </w:rPr>
            <w:t>8.1.1.1</w:t>
          </w:r>
          <w:r>
            <w:rPr>
              <w:rStyle w:val="18"/>
              <w:rFonts w:hint="eastAsia"/>
              <w:kern w:val="0"/>
            </w:rPr>
            <w:t>课程建设项目的总体水平有待进一步提升</w:t>
          </w:r>
          <w:r>
            <w:tab/>
          </w:r>
          <w:r>
            <w:fldChar w:fldCharType="begin"/>
          </w:r>
          <w:r>
            <w:instrText xml:space="preserve"> PAGEREF _Toc29995214 \h </w:instrText>
          </w:r>
          <w:r>
            <w:fldChar w:fldCharType="separate"/>
          </w:r>
          <w:r>
            <w:t>82</w:t>
          </w:r>
          <w:r>
            <w:fldChar w:fldCharType="end"/>
          </w:r>
          <w:r>
            <w:fldChar w:fldCharType="end"/>
          </w:r>
        </w:p>
        <w:p>
          <w:pPr>
            <w:pStyle w:val="5"/>
            <w:tabs>
              <w:tab w:val="right" w:leader="dot" w:pos="9060"/>
            </w:tabs>
            <w:ind w:left="960" w:firstLine="480"/>
          </w:pPr>
          <w:r>
            <w:fldChar w:fldCharType="begin"/>
          </w:r>
          <w:r>
            <w:instrText xml:space="preserve"> HYPERLINK \l "_Toc29995215" </w:instrText>
          </w:r>
          <w:r>
            <w:fldChar w:fldCharType="separate"/>
          </w:r>
          <w:r>
            <w:rPr>
              <w:rStyle w:val="18"/>
              <w:kern w:val="0"/>
            </w:rPr>
            <w:t>8.1.1.2</w:t>
          </w:r>
          <w:r>
            <w:rPr>
              <w:rStyle w:val="18"/>
              <w:rFonts w:hint="eastAsia"/>
              <w:kern w:val="0"/>
            </w:rPr>
            <w:t>师资队伍不能完全满足学校发展的需要</w:t>
          </w:r>
          <w:r>
            <w:tab/>
          </w:r>
          <w:r>
            <w:fldChar w:fldCharType="begin"/>
          </w:r>
          <w:r>
            <w:instrText xml:space="preserve"> PAGEREF _Toc29995215 \h </w:instrText>
          </w:r>
          <w:r>
            <w:fldChar w:fldCharType="separate"/>
          </w:r>
          <w:r>
            <w:t>82</w:t>
          </w:r>
          <w:r>
            <w:fldChar w:fldCharType="end"/>
          </w:r>
          <w:r>
            <w:fldChar w:fldCharType="end"/>
          </w:r>
        </w:p>
        <w:p>
          <w:pPr>
            <w:pStyle w:val="12"/>
            <w:tabs>
              <w:tab w:val="right" w:leader="dot" w:pos="9060"/>
            </w:tabs>
            <w:ind w:left="480" w:firstLine="480"/>
          </w:pPr>
          <w:r>
            <w:fldChar w:fldCharType="begin"/>
          </w:r>
          <w:r>
            <w:instrText xml:space="preserve"> HYPERLINK \l "_Toc29995216" </w:instrText>
          </w:r>
          <w:r>
            <w:fldChar w:fldCharType="separate"/>
          </w:r>
          <w:r>
            <w:rPr>
              <w:rStyle w:val="18"/>
            </w:rPr>
            <w:t>8.2</w:t>
          </w:r>
          <w:r>
            <w:rPr>
              <w:rStyle w:val="18"/>
              <w:rFonts w:hint="eastAsia"/>
            </w:rPr>
            <w:t>改进措施</w:t>
          </w:r>
          <w:r>
            <w:tab/>
          </w:r>
          <w:r>
            <w:fldChar w:fldCharType="begin"/>
          </w:r>
          <w:r>
            <w:instrText xml:space="preserve"> PAGEREF _Toc29995216 \h </w:instrText>
          </w:r>
          <w:r>
            <w:fldChar w:fldCharType="separate"/>
          </w:r>
          <w:r>
            <w:t>83</w:t>
          </w:r>
          <w:r>
            <w:fldChar w:fldCharType="end"/>
          </w:r>
          <w:r>
            <w:fldChar w:fldCharType="end"/>
          </w:r>
        </w:p>
        <w:p>
          <w:pPr>
            <w:pStyle w:val="5"/>
            <w:tabs>
              <w:tab w:val="right" w:leader="dot" w:pos="9060"/>
            </w:tabs>
            <w:ind w:left="960" w:firstLine="480"/>
          </w:pPr>
          <w:r>
            <w:fldChar w:fldCharType="begin"/>
          </w:r>
          <w:r>
            <w:instrText xml:space="preserve"> HYPERLINK \l "_Toc29995217" </w:instrText>
          </w:r>
          <w:r>
            <w:fldChar w:fldCharType="separate"/>
          </w:r>
          <w:r>
            <w:rPr>
              <w:rStyle w:val="18"/>
            </w:rPr>
            <w:t>8.2.1</w:t>
          </w:r>
          <w:r>
            <w:rPr>
              <w:rStyle w:val="18"/>
              <w:rFonts w:hint="eastAsia"/>
            </w:rPr>
            <w:t>加强办学基础条件建设，为提高人才培养质量奠定基础</w:t>
          </w:r>
          <w:r>
            <w:tab/>
          </w:r>
          <w:r>
            <w:fldChar w:fldCharType="begin"/>
          </w:r>
          <w:r>
            <w:instrText xml:space="preserve"> PAGEREF _Toc29995217 \h </w:instrText>
          </w:r>
          <w:r>
            <w:fldChar w:fldCharType="separate"/>
          </w:r>
          <w:r>
            <w:t>83</w:t>
          </w:r>
          <w:r>
            <w:fldChar w:fldCharType="end"/>
          </w:r>
          <w:r>
            <w:fldChar w:fldCharType="end"/>
          </w:r>
        </w:p>
        <w:p>
          <w:pPr>
            <w:pStyle w:val="5"/>
            <w:tabs>
              <w:tab w:val="right" w:leader="dot" w:pos="9060"/>
            </w:tabs>
            <w:ind w:left="960" w:firstLine="480"/>
          </w:pPr>
          <w:r>
            <w:fldChar w:fldCharType="begin"/>
          </w:r>
          <w:r>
            <w:instrText xml:space="preserve"> HYPERLINK \l "_Toc29995218" </w:instrText>
          </w:r>
          <w:r>
            <w:fldChar w:fldCharType="separate"/>
          </w:r>
          <w:r>
            <w:rPr>
              <w:rStyle w:val="18"/>
            </w:rPr>
            <w:t>8.2.2</w:t>
          </w:r>
          <w:r>
            <w:rPr>
              <w:rStyle w:val="18"/>
              <w:rFonts w:hint="eastAsia"/>
            </w:rPr>
            <w:t>优化师资队伍结构，提升师资水平</w:t>
          </w:r>
          <w:r>
            <w:tab/>
          </w:r>
          <w:r>
            <w:fldChar w:fldCharType="begin"/>
          </w:r>
          <w:r>
            <w:instrText xml:space="preserve"> PAGEREF _Toc29995218 \h </w:instrText>
          </w:r>
          <w:r>
            <w:fldChar w:fldCharType="separate"/>
          </w:r>
          <w:r>
            <w:t>83</w:t>
          </w:r>
          <w:r>
            <w:fldChar w:fldCharType="end"/>
          </w:r>
          <w:r>
            <w:fldChar w:fldCharType="end"/>
          </w:r>
        </w:p>
        <w:p>
          <w:pPr>
            <w:pStyle w:val="5"/>
            <w:tabs>
              <w:tab w:val="right" w:leader="dot" w:pos="9060"/>
            </w:tabs>
            <w:ind w:left="960" w:firstLine="480"/>
          </w:pPr>
          <w:r>
            <w:fldChar w:fldCharType="begin"/>
          </w:r>
          <w:r>
            <w:instrText xml:space="preserve"> HYPERLINK \l "_Toc29995219" </w:instrText>
          </w:r>
          <w:r>
            <w:fldChar w:fldCharType="separate"/>
          </w:r>
          <w:r>
            <w:rPr>
              <w:rStyle w:val="18"/>
            </w:rPr>
            <w:t>8.2.3</w:t>
          </w:r>
          <w:r>
            <w:rPr>
              <w:rStyle w:val="18"/>
              <w:rFonts w:hint="eastAsia"/>
            </w:rPr>
            <w:t>深化教学改革，创新人才培养模式</w:t>
          </w:r>
          <w:r>
            <w:tab/>
          </w:r>
          <w:r>
            <w:fldChar w:fldCharType="begin"/>
          </w:r>
          <w:r>
            <w:instrText xml:space="preserve"> PAGEREF _Toc29995219 \h </w:instrText>
          </w:r>
          <w:r>
            <w:fldChar w:fldCharType="separate"/>
          </w:r>
          <w:r>
            <w:t>83</w:t>
          </w:r>
          <w:r>
            <w:fldChar w:fldCharType="end"/>
          </w:r>
          <w:r>
            <w:fldChar w:fldCharType="end"/>
          </w:r>
        </w:p>
        <w:p>
          <w:pPr>
            <w:ind w:firstLine="0" w:firstLineChars="0"/>
            <w:rPr>
              <w:rFonts w:hint="eastAsia"/>
            </w:rPr>
          </w:pPr>
          <w:r>
            <w:rPr>
              <w:b/>
              <w:bCs/>
              <w:lang w:val="zh-CN"/>
            </w:rPr>
            <w:fldChar w:fldCharType="end"/>
          </w:r>
        </w:p>
      </w:sdtContent>
    </w:sdt>
    <w:p>
      <w:pPr>
        <w:ind w:firstLine="0" w:firstLineChars="0"/>
        <w:jc w:val="center"/>
        <w:rPr>
          <w:rFonts w:hint="eastAsia" w:ascii="黑体" w:hAnsi="宋体" w:eastAsia="黑体"/>
          <w:b/>
          <w:sz w:val="36"/>
          <w:szCs w:val="36"/>
        </w:rPr>
      </w:pPr>
      <w:r>
        <w:rPr>
          <w:rFonts w:hint="eastAsia" w:ascii="黑体" w:hAnsi="宋体" w:eastAsia="黑体"/>
          <w:b/>
          <w:sz w:val="36"/>
          <w:szCs w:val="36"/>
        </w:rPr>
        <w:t>揭阳捷和职业技术学校</w:t>
      </w:r>
    </w:p>
    <w:p>
      <w:pPr>
        <w:ind w:firstLine="0" w:firstLineChars="0"/>
        <w:jc w:val="center"/>
        <w:rPr>
          <w:rFonts w:ascii="黑体" w:hAnsi="宋体" w:eastAsia="黑体"/>
          <w:b/>
          <w:sz w:val="36"/>
          <w:szCs w:val="36"/>
        </w:rPr>
      </w:pPr>
      <w:r>
        <w:rPr>
          <w:rFonts w:hint="eastAsia" w:ascii="黑体" w:hAnsi="宋体" w:eastAsia="黑体"/>
          <w:b/>
          <w:sz w:val="36"/>
          <w:szCs w:val="36"/>
        </w:rPr>
        <w:t>中等职业教育人才培养质量年度报告（2019年）</w:t>
      </w:r>
    </w:p>
    <w:p>
      <w:pPr>
        <w:pStyle w:val="2"/>
        <w:ind w:left="240" w:right="240"/>
        <w:rPr>
          <w:szCs w:val="36"/>
        </w:rPr>
      </w:pPr>
      <w:bookmarkStart w:id="0" w:name="_Toc29995100"/>
      <w:bookmarkStart w:id="1" w:name="_Toc505003750"/>
      <w:r>
        <w:rPr>
          <w:rFonts w:hint="eastAsia"/>
          <w:szCs w:val="36"/>
        </w:rPr>
        <w:t>1.学校情况</w:t>
      </w:r>
      <w:bookmarkEnd w:id="0"/>
      <w:bookmarkEnd w:id="1"/>
      <w:bookmarkStart w:id="2" w:name="_Toc376780804"/>
      <w:bookmarkStart w:id="3" w:name="_Toc376768603"/>
    </w:p>
    <w:p>
      <w:pPr>
        <w:pStyle w:val="3"/>
      </w:pPr>
      <w:bookmarkStart w:id="4" w:name="_Toc29995101"/>
      <w:bookmarkStart w:id="5" w:name="_Toc505003751"/>
      <w:r>
        <w:rPr>
          <w:rFonts w:hint="eastAsia"/>
        </w:rPr>
        <w:t>1.1</w:t>
      </w:r>
      <w:bookmarkEnd w:id="2"/>
      <w:bookmarkEnd w:id="3"/>
      <w:r>
        <w:rPr>
          <w:rFonts w:hint="eastAsia"/>
        </w:rPr>
        <w:t>学校概况</w:t>
      </w:r>
      <w:bookmarkEnd w:id="4"/>
      <w:bookmarkEnd w:id="5"/>
    </w:p>
    <w:p>
      <w:pPr>
        <w:ind w:firstLine="480"/>
        <w:rPr>
          <w:rFonts w:ascii="宋体" w:hAnsi="宋体" w:cs="宋体"/>
          <w:color w:val="000000"/>
          <w:kern w:val="0"/>
          <w:szCs w:val="21"/>
        </w:rPr>
      </w:pPr>
      <w:r>
        <w:rPr>
          <w:rFonts w:hint="eastAsia" w:ascii="宋体" w:hAnsi="宋体" w:cs="宋体"/>
          <w:color w:val="000000"/>
          <w:kern w:val="0"/>
          <w:szCs w:val="21"/>
        </w:rPr>
        <w:t>揭阳捷和职业技术学校是一所公办的全日制国家级重点中等职业学校，是揭阳市第一家公立中职学校，广东省第一家华侨捐资创办的职校，也是第一批（2000年）国家级重点中等职业学校。</w:t>
      </w:r>
    </w:p>
    <w:p>
      <w:pPr>
        <w:ind w:firstLine="480"/>
        <w:rPr>
          <w:rFonts w:ascii="宋体" w:hAnsi="宋体" w:cs="宋体"/>
          <w:color w:val="000000"/>
          <w:kern w:val="0"/>
          <w:szCs w:val="21"/>
        </w:rPr>
      </w:pPr>
      <w:r>
        <w:rPr>
          <w:rFonts w:hint="eastAsia" w:ascii="宋体" w:hAnsi="宋体" w:cs="宋体"/>
          <w:color w:val="000000"/>
          <w:kern w:val="0"/>
          <w:szCs w:val="21"/>
        </w:rPr>
        <w:t>办学历史悠久。学校创设于1964年，前身为揭阳红旗中学，1987年易名为揭阳捷和工业中学，2010年再度易名为揭阳捷和职业技术学校。</w:t>
      </w:r>
    </w:p>
    <w:p>
      <w:pPr>
        <w:ind w:firstLine="480"/>
      </w:pPr>
      <w:r>
        <w:rPr>
          <w:rFonts w:hint="eastAsia" w:ascii="宋体" w:hAnsi="宋体" w:cs="宋体"/>
          <w:color w:val="000000"/>
          <w:kern w:val="0"/>
          <w:szCs w:val="21"/>
        </w:rPr>
        <w:t>学校于2000年被教育部批准为首批国家级重点职中，</w:t>
      </w:r>
      <w:r>
        <w:t>新校区</w:t>
      </w:r>
      <w:r>
        <w:rPr>
          <w:rFonts w:hint="eastAsia"/>
        </w:rPr>
        <w:t>办学地点在揭阳市榕城区梅云吉荣路中段。校园总面积185亩（123333.95平方米），现</w:t>
      </w:r>
      <w:r>
        <w:t>校舍总建筑面积</w:t>
      </w:r>
      <w:r>
        <w:rPr>
          <w:rFonts w:hint="eastAsia"/>
        </w:rPr>
        <w:t>80450平方米，</w:t>
      </w:r>
      <w:r>
        <w:t>其中教学及辅助用房</w:t>
      </w:r>
      <w:r>
        <w:rPr>
          <w:rFonts w:hint="eastAsia"/>
        </w:rPr>
        <w:t>46309平方米、</w:t>
      </w:r>
      <w:r>
        <w:t>行政办公用房</w:t>
      </w:r>
      <w:r>
        <w:rPr>
          <w:rFonts w:hint="eastAsia"/>
        </w:rPr>
        <w:t>5291平方米、</w:t>
      </w:r>
      <w:r>
        <w:t>学生宿舍</w:t>
      </w:r>
      <w:r>
        <w:rPr>
          <w:rFonts w:hint="eastAsia"/>
        </w:rPr>
        <w:t>21804平方米。其中，新兴校区占地面积35亩，校舍建筑面积12000平方米，梅云校区占地面积150亩，校舍建筑面积68450平方米。梅云校区环境优美，建筑布局合理科学，拥有教学大楼4座、1.5万平方米独立实训中心1座、7800平方米信息中心和图书馆1座、行政办公楼1座、学生宿舍楼4座、师生食堂1座、400米标准塑胶跑道田径场以及篮球场和羽毛球场等设施，共投入基础建设资金1.3亿多元。</w:t>
      </w:r>
    </w:p>
    <w:p>
      <w:pPr>
        <w:ind w:firstLine="480"/>
        <w:rPr>
          <w:rFonts w:ascii="宋体" w:hAnsi="宋体"/>
        </w:rPr>
      </w:pPr>
      <w:r>
        <w:rPr>
          <w:rFonts w:hint="eastAsia"/>
        </w:rPr>
        <w:t>学校设有机电部、计机部、文艺部、财贸部四个专业教学部和实训部，开设有机电技术应用、电子与信息技术、数控技术应用、汽车运用与维修、计算机应用、计算机动漫与游戏制作、电子商务、学前教育、美术设计与制作、会计、中餐烹饪与营养膳食等主干专业。其中，电子与信息技术、机电技术应用、计算机应用专业为广东省重点建设专业。学校与多所省内高校、企业联合办学，如：电子与信息技术、机电技术应用、电子商务、计算机动漫与游戏制作、中餐烹饪与营养膳食、学前教育、美术设计与制作以及音乐等专业分别与广东农工商职业技术学院、广东文艺职业学院、广东环境保护工程职业学院以及揭阳职业技术学院等高校合作开展中高职衔接三二分段试点办学；“中餐烹饪与营养膳食”专业与企业、行业协会联合试行“现代学徒制”的办学模式。学校专业实训场室93间，公共计算机房18间，总建筑面积2.2万多平方米，本年度新增教学仪器设备225.56万元，实训设备总值4049.63万元；</w:t>
      </w:r>
      <w:r>
        <w:rPr>
          <w:rFonts w:hint="eastAsia" w:ascii="宋体" w:hAnsi="宋体"/>
        </w:rPr>
        <w:t>建有校外</w:t>
      </w:r>
      <w:r>
        <w:rPr>
          <w:rFonts w:ascii="宋体" w:hAnsi="宋体"/>
        </w:rPr>
        <w:t>实习</w:t>
      </w:r>
      <w:r>
        <w:rPr>
          <w:rFonts w:hint="eastAsia" w:ascii="宋体" w:hAnsi="宋体"/>
        </w:rPr>
        <w:t>实训基地一批。规划建设培训楼、艺术楼和教师宿舍楼各1座，将改造升级足球场等体育设施。</w:t>
      </w:r>
    </w:p>
    <w:p>
      <w:pPr>
        <w:ind w:firstLine="480"/>
      </w:pPr>
      <w:r>
        <w:rPr>
          <w:rFonts w:hint="eastAsia"/>
        </w:rPr>
        <w:t>多年来，学校秉承“以人为本、知行合一、担当责任、和谐发展”的办学理念，致力于教书与育人，不断强化学校管理的规范化，人文关怀与依法治校并重，整体办学水平日益提高，为地方经济结构调整、技术进步和各类人员就业、再就业培训作出了很大的贡献，深受社会各界人士好评。学校于1995年被评为广东省重点职业高级中学，2000年被教育部批准为首批国家级重点职业高级中学，2004年被教育部批准为新调整认定的首批国家级重点中等职业学校。学校先后获得团中央“中学社会实践教育合格单位”“全国职工教育优秀示范点”“2017年全国青少年</w:t>
      </w:r>
      <w:r>
        <w:t>校园足球特色学校</w:t>
      </w:r>
      <w:r>
        <w:rPr>
          <w:rFonts w:hint="eastAsia"/>
        </w:rPr>
        <w:t>”“广东省安全文明校园”“广东省绿色学校”“广东省‘五四’红旗团委”“广东省第二届中职学校优秀社团先进单位”“广东省第二届中职学校优秀社团先进单位”“广东省依法治校示范校”“广东省总工会授予模范职工小家”“广东省青少年</w:t>
      </w:r>
      <w:r>
        <w:t>校园足球</w:t>
      </w:r>
      <w:r>
        <w:rPr>
          <w:rFonts w:hint="eastAsia"/>
        </w:rPr>
        <w:t>推</w:t>
      </w:r>
      <w:r>
        <w:t>广学校</w:t>
      </w:r>
      <w:r>
        <w:rPr>
          <w:rFonts w:hint="eastAsia"/>
        </w:rPr>
        <w:t>”“潮汕星河道德奖”“揭阳市文明学校”“揭阳市十佳校园”“揭阳市平安校园”“揭阳市书香校园”“揭阳市‘五四’红旗团委”“揭阳市语言文字规范化示范校”“揭阳市电商培训大联盟2016年度培训优秀单位”“榕城区教育先进单位”“榕城区文明单位” 等多项殊荣，成为粤东中等职业教育一颗璀璨的明珠。</w:t>
      </w:r>
    </w:p>
    <w:p>
      <w:pPr>
        <w:ind w:firstLine="480"/>
        <w:rPr>
          <w:rFonts w:ascii="宋体" w:hAnsi="宋体"/>
        </w:rPr>
      </w:pPr>
      <w:r>
        <w:rPr>
          <w:rFonts w:hint="eastAsia" w:ascii="宋体" w:hAnsi="宋体"/>
        </w:rPr>
        <w:t>今后，学校将进一步加强内涵建设，完善办学条件，立足揭阳，辐射广东地区，围绕揭阳乃至广东产业、行业、企业发展的需要，全力提高办学水平，致力于培养健全人格人才，努力把学校办大、办强、办优，建设成一所高质量高水平现代化中等职业学校。</w:t>
      </w:r>
    </w:p>
    <w:p>
      <w:pPr>
        <w:ind w:firstLine="480"/>
        <w:jc w:val="center"/>
        <w:rPr>
          <w:rFonts w:ascii="仿宋_GB2312" w:hAnsi="Courier New" w:eastAsia="仿宋_GB2312"/>
        </w:rPr>
      </w:pPr>
      <w:r>
        <w:rPr>
          <w:rFonts w:ascii="仿宋_GB2312" w:hAnsi="Courier New" w:eastAsia="仿宋_GB2312"/>
        </w:rPr>
        <w:drawing>
          <wp:inline distT="0" distB="0" distL="114300" distR="114300">
            <wp:extent cx="4396105" cy="2512695"/>
            <wp:effectExtent l="0" t="0" r="4445" b="1905"/>
            <wp:docPr id="16"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2"/>
                    <pic:cNvPicPr>
                      <a:picLocks noChangeAspect="1"/>
                    </pic:cNvPicPr>
                  </pic:nvPicPr>
                  <pic:blipFill>
                    <a:blip r:embed="rId16"/>
                    <a:stretch>
                      <a:fillRect/>
                    </a:stretch>
                  </pic:blipFill>
                  <pic:spPr>
                    <a:xfrm>
                      <a:off x="0" y="0"/>
                      <a:ext cx="4396105" cy="2512695"/>
                    </a:xfrm>
                    <a:prstGeom prst="rect">
                      <a:avLst/>
                    </a:prstGeom>
                    <a:noFill/>
                    <a:ln>
                      <a:noFill/>
                    </a:ln>
                  </pic:spPr>
                </pic:pic>
              </a:graphicData>
            </a:graphic>
          </wp:inline>
        </w:drawing>
      </w:r>
    </w:p>
    <w:p>
      <w:pPr>
        <w:ind w:firstLine="480"/>
        <w:jc w:val="center"/>
        <w:rPr>
          <w:rFonts w:ascii="仿宋_GB2312" w:hAnsi="Courier New" w:eastAsia="仿宋_GB2312"/>
        </w:rPr>
      </w:pPr>
      <w:r>
        <w:rPr>
          <w:rFonts w:hint="eastAsia" w:ascii="仿宋_GB2312" w:hAnsi="Courier New" w:eastAsia="仿宋_GB2312"/>
        </w:rPr>
        <w:t>图1.1-1梅云校区校门</w:t>
      </w:r>
    </w:p>
    <w:p>
      <w:pPr>
        <w:ind w:firstLine="480"/>
        <w:jc w:val="center"/>
        <w:rPr>
          <w:rFonts w:ascii="仿宋_GB2312" w:hAnsi="Courier New" w:eastAsia="仿宋_GB2312"/>
        </w:rPr>
      </w:pPr>
      <w:r>
        <w:rPr>
          <w:rFonts w:ascii="仿宋_GB2312" w:hAnsi="Courier New" w:eastAsia="仿宋_GB2312"/>
        </w:rPr>
        <w:drawing>
          <wp:inline distT="0" distB="0" distL="114300" distR="114300">
            <wp:extent cx="4399915" cy="2319020"/>
            <wp:effectExtent l="0" t="0" r="635" b="5080"/>
            <wp:docPr id="21" name="图片 2" descr="学校正面全景图IMG_980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学校正面全景图IMG_9806 (1)"/>
                    <pic:cNvPicPr>
                      <a:picLocks noChangeAspect="1"/>
                    </pic:cNvPicPr>
                  </pic:nvPicPr>
                  <pic:blipFill>
                    <a:blip r:embed="rId17"/>
                    <a:stretch>
                      <a:fillRect/>
                    </a:stretch>
                  </pic:blipFill>
                  <pic:spPr>
                    <a:xfrm>
                      <a:off x="0" y="0"/>
                      <a:ext cx="4399915" cy="2319020"/>
                    </a:xfrm>
                    <a:prstGeom prst="rect">
                      <a:avLst/>
                    </a:prstGeom>
                    <a:noFill/>
                    <a:ln>
                      <a:noFill/>
                    </a:ln>
                  </pic:spPr>
                </pic:pic>
              </a:graphicData>
            </a:graphic>
          </wp:inline>
        </w:drawing>
      </w:r>
    </w:p>
    <w:p>
      <w:pPr>
        <w:ind w:firstLine="480"/>
        <w:jc w:val="center"/>
        <w:rPr>
          <w:rFonts w:ascii="仿宋_GB2312" w:hAnsi="Courier New" w:eastAsia="仿宋_GB2312"/>
        </w:rPr>
      </w:pPr>
      <w:r>
        <w:rPr>
          <w:rFonts w:hint="eastAsia" w:ascii="仿宋_GB2312" w:hAnsi="Courier New" w:eastAsia="仿宋_GB2312"/>
        </w:rPr>
        <w:t>图1.1-2梅云校区全景</w:t>
      </w:r>
    </w:p>
    <w:p>
      <w:pPr>
        <w:ind w:firstLine="480"/>
        <w:jc w:val="center"/>
        <w:rPr>
          <w:rFonts w:ascii="仿宋_GB2312" w:hAnsi="Courier New" w:eastAsia="仿宋_GB2312"/>
        </w:rPr>
      </w:pPr>
      <w:r>
        <w:rPr>
          <w:rFonts w:ascii="仿宋_GB2312" w:hAnsi="Courier New" w:eastAsia="仿宋_GB2312"/>
        </w:rPr>
        <w:drawing>
          <wp:inline distT="0" distB="0" distL="114300" distR="114300">
            <wp:extent cx="4361815" cy="2458085"/>
            <wp:effectExtent l="0" t="0" r="635" b="18415"/>
            <wp:docPr id="17" name="图片 3"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55"/>
                    <pic:cNvPicPr>
                      <a:picLocks noChangeAspect="1"/>
                    </pic:cNvPicPr>
                  </pic:nvPicPr>
                  <pic:blipFill>
                    <a:blip r:embed="rId18"/>
                    <a:stretch>
                      <a:fillRect/>
                    </a:stretch>
                  </pic:blipFill>
                  <pic:spPr>
                    <a:xfrm>
                      <a:off x="0" y="0"/>
                      <a:ext cx="4361815" cy="2458085"/>
                    </a:xfrm>
                    <a:prstGeom prst="rect">
                      <a:avLst/>
                    </a:prstGeom>
                    <a:noFill/>
                    <a:ln>
                      <a:noFill/>
                    </a:ln>
                  </pic:spPr>
                </pic:pic>
              </a:graphicData>
            </a:graphic>
          </wp:inline>
        </w:drawing>
      </w:r>
    </w:p>
    <w:p>
      <w:pPr>
        <w:ind w:firstLine="480"/>
        <w:jc w:val="center"/>
        <w:rPr>
          <w:rFonts w:ascii="仿宋_GB2312" w:hAnsi="Courier New" w:eastAsia="仿宋_GB2312"/>
        </w:rPr>
      </w:pPr>
      <w:r>
        <w:rPr>
          <w:rFonts w:hint="eastAsia" w:ascii="仿宋_GB2312" w:hAnsi="Courier New" w:eastAsia="仿宋_GB2312"/>
        </w:rPr>
        <w:t>图1.1-3梅云校区田径场</w:t>
      </w:r>
    </w:p>
    <w:p>
      <w:pPr>
        <w:ind w:firstLine="480"/>
        <w:jc w:val="center"/>
        <w:rPr>
          <w:rFonts w:ascii="仿宋_GB2312" w:hAnsi="Courier New" w:eastAsia="仿宋_GB2312"/>
        </w:rPr>
      </w:pPr>
      <w:r>
        <w:rPr>
          <w:rFonts w:ascii="仿宋_GB2312" w:hAnsi="Courier New" w:eastAsia="仿宋_GB2312"/>
        </w:rPr>
        <w:drawing>
          <wp:inline distT="0" distB="0" distL="114300" distR="114300">
            <wp:extent cx="4328795" cy="2414270"/>
            <wp:effectExtent l="0" t="0" r="14605" b="5080"/>
            <wp:docPr id="22" name="图片 4" descr="IMG_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IMG_0445"/>
                    <pic:cNvPicPr>
                      <a:picLocks noChangeAspect="1"/>
                    </pic:cNvPicPr>
                  </pic:nvPicPr>
                  <pic:blipFill>
                    <a:blip r:embed="rId19"/>
                    <a:stretch>
                      <a:fillRect/>
                    </a:stretch>
                  </pic:blipFill>
                  <pic:spPr>
                    <a:xfrm>
                      <a:off x="0" y="0"/>
                      <a:ext cx="4328795" cy="2414270"/>
                    </a:xfrm>
                    <a:prstGeom prst="rect">
                      <a:avLst/>
                    </a:prstGeom>
                    <a:noFill/>
                    <a:ln>
                      <a:noFill/>
                    </a:ln>
                  </pic:spPr>
                </pic:pic>
              </a:graphicData>
            </a:graphic>
          </wp:inline>
        </w:drawing>
      </w:r>
    </w:p>
    <w:p>
      <w:pPr>
        <w:ind w:firstLine="480"/>
        <w:jc w:val="center"/>
        <w:rPr>
          <w:rFonts w:ascii="仿宋_GB2312" w:hAnsi="Courier New" w:eastAsia="仿宋_GB2312"/>
        </w:rPr>
      </w:pPr>
      <w:r>
        <w:rPr>
          <w:rFonts w:hint="eastAsia" w:ascii="仿宋_GB2312" w:hAnsi="Courier New" w:eastAsia="仿宋_GB2312"/>
        </w:rPr>
        <w:t>图1.1-4新兴校区校门</w:t>
      </w:r>
    </w:p>
    <w:p>
      <w:pPr>
        <w:ind w:firstLine="480"/>
        <w:jc w:val="center"/>
        <w:rPr>
          <w:rFonts w:ascii="仿宋_GB2312" w:hAnsi="Courier New" w:eastAsia="仿宋_GB2312"/>
        </w:rPr>
      </w:pPr>
      <w:r>
        <w:rPr>
          <w:rFonts w:ascii="仿宋_GB2312" w:hAnsi="Courier New" w:eastAsia="仿宋_GB2312"/>
        </w:rPr>
        <w:drawing>
          <wp:inline distT="0" distB="0" distL="114300" distR="114300">
            <wp:extent cx="3917315" cy="2161540"/>
            <wp:effectExtent l="0" t="0" r="6985" b="10160"/>
            <wp:docPr id="11" name="图片 5" descr="IMG_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0366"/>
                    <pic:cNvPicPr>
                      <a:picLocks noChangeAspect="1"/>
                    </pic:cNvPicPr>
                  </pic:nvPicPr>
                  <pic:blipFill>
                    <a:blip r:embed="rId20"/>
                    <a:stretch>
                      <a:fillRect/>
                    </a:stretch>
                  </pic:blipFill>
                  <pic:spPr>
                    <a:xfrm>
                      <a:off x="0" y="0"/>
                      <a:ext cx="3917315" cy="2161540"/>
                    </a:xfrm>
                    <a:prstGeom prst="rect">
                      <a:avLst/>
                    </a:prstGeom>
                    <a:noFill/>
                    <a:ln>
                      <a:noFill/>
                    </a:ln>
                  </pic:spPr>
                </pic:pic>
              </a:graphicData>
            </a:graphic>
          </wp:inline>
        </w:drawing>
      </w:r>
    </w:p>
    <w:p>
      <w:pPr>
        <w:ind w:firstLine="480"/>
        <w:jc w:val="center"/>
        <w:rPr>
          <w:rFonts w:ascii="仿宋_GB2312" w:hAnsi="Courier New" w:eastAsia="仿宋_GB2312"/>
        </w:rPr>
      </w:pPr>
      <w:r>
        <w:rPr>
          <w:rFonts w:hint="eastAsia" w:ascii="仿宋_GB2312" w:hAnsi="Courier New" w:eastAsia="仿宋_GB2312"/>
        </w:rPr>
        <w:t>图1.1-5新兴校区教学楼</w:t>
      </w:r>
    </w:p>
    <w:p>
      <w:pPr>
        <w:ind w:left="-2" w:leftChars="-1" w:firstLine="482"/>
        <w:jc w:val="center"/>
        <w:rPr>
          <w:rFonts w:ascii="黑体" w:hAnsi="黑体" w:eastAsia="黑体"/>
          <w:b/>
        </w:rPr>
      </w:pPr>
      <w:r>
        <w:rPr>
          <w:rFonts w:ascii="黑体" w:hAnsi="黑体" w:eastAsia="黑体"/>
          <w:b/>
        </w:rPr>
        <w:drawing>
          <wp:inline distT="0" distB="0" distL="114300" distR="114300">
            <wp:extent cx="3917315" cy="2611755"/>
            <wp:effectExtent l="0" t="0" r="6985" b="17145"/>
            <wp:docPr id="26" name="图片 6" descr="IMG_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descr="IMG_0342"/>
                    <pic:cNvPicPr>
                      <a:picLocks noChangeAspect="1"/>
                    </pic:cNvPicPr>
                  </pic:nvPicPr>
                  <pic:blipFill>
                    <a:blip r:embed="rId21"/>
                    <a:stretch>
                      <a:fillRect/>
                    </a:stretch>
                  </pic:blipFill>
                  <pic:spPr>
                    <a:xfrm>
                      <a:off x="0" y="0"/>
                      <a:ext cx="3917315" cy="2611755"/>
                    </a:xfrm>
                    <a:prstGeom prst="rect">
                      <a:avLst/>
                    </a:prstGeom>
                    <a:noFill/>
                    <a:ln>
                      <a:noFill/>
                    </a:ln>
                  </pic:spPr>
                </pic:pic>
              </a:graphicData>
            </a:graphic>
          </wp:inline>
        </w:drawing>
      </w:r>
    </w:p>
    <w:p>
      <w:pPr>
        <w:ind w:firstLine="0" w:firstLineChars="0"/>
        <w:jc w:val="center"/>
        <w:rPr>
          <w:rFonts w:ascii="仿宋_GB2312" w:hAnsi="Courier New" w:eastAsia="仿宋_GB2312"/>
        </w:rPr>
      </w:pPr>
      <w:r>
        <w:rPr>
          <w:rFonts w:hint="eastAsia" w:ascii="仿宋_GB2312" w:hAnsi="Courier New" w:eastAsia="仿宋_GB2312"/>
        </w:rPr>
        <w:t>图1.1-6新兴校区运动区</w:t>
      </w:r>
    </w:p>
    <w:p>
      <w:pPr>
        <w:pStyle w:val="3"/>
      </w:pPr>
      <w:bookmarkStart w:id="6" w:name="_Toc29995102"/>
      <w:bookmarkStart w:id="7" w:name="_Toc505003752"/>
      <w:r>
        <w:rPr>
          <w:rFonts w:hint="eastAsia"/>
        </w:rPr>
        <w:t>1.2学生情况</w:t>
      </w:r>
      <w:bookmarkEnd w:id="6"/>
      <w:bookmarkEnd w:id="7"/>
    </w:p>
    <w:p>
      <w:pPr>
        <w:ind w:firstLine="480"/>
      </w:pPr>
      <w:bookmarkStart w:id="8" w:name="_Toc472000932"/>
      <w:r>
        <w:rPr>
          <w:rFonts w:hint="eastAsia"/>
        </w:rPr>
        <w:t>学校全日制在校生总数是3826人。2018-2019学年,学校招生1321人。目前，在校生规模3940人（其中，全日制学生3712人，全日制退役士兵228人），上学年在校生3628（全日制3628人、非全日制0人），比增312人。</w:t>
      </w:r>
    </w:p>
    <w:p>
      <w:pPr>
        <w:ind w:firstLine="480"/>
      </w:pPr>
      <w:r>
        <w:rPr>
          <w:rFonts w:hint="eastAsia"/>
        </w:rPr>
        <w:t>学生结构：学生主要集中在学前教育类、电子商务类、会计专业，三类专业学生数量约占在校生总数的53%。从年龄结构看，16—19岁学生为主，约占学生总数的96%。巩固率：2017—2018学年度98.79%，2018-2019学年度98.05%。2018年毕业生1116人，较2017年秋季毕业750人增加366人。</w:t>
      </w:r>
    </w:p>
    <w:bookmarkEnd w:id="8"/>
    <w:p>
      <w:pPr>
        <w:ind w:firstLine="480"/>
      </w:pPr>
      <w:r>
        <w:rPr>
          <w:rFonts w:hint="eastAsia"/>
        </w:rPr>
        <w:t>我是揭阳市榕城区人力资源和社会保障局就业培训中心分教处、揭阳市榕城区职工教育培训中心、揭阳市榕城区餐饮行业人才培训基地、广东吉荣电梯有限公司特种作业人员培训基地、广东省民营企业家培训学院揭商分院。学校充分利用自身优势，积极为职工开展各种专业技能培训工作，积极开展社区教育，长期服务于社区群众，提高了城市青年及农民工的文化知识面及技能水平。</w:t>
      </w:r>
    </w:p>
    <w:p>
      <w:pPr>
        <w:ind w:firstLine="480"/>
      </w:pPr>
      <w:r>
        <w:rPr>
          <w:rFonts w:hint="eastAsia"/>
        </w:rPr>
        <w:t>目前学校主要为全国计算机等级考试、全国英语等级考试、广东省专业技能考试以及各种技能中级工的鉴定提供培训和考试工作。2018-2019年度与2017-2018年度的具体数据对比情况如下：</w:t>
      </w:r>
    </w:p>
    <w:tbl>
      <w:tblPr>
        <w:tblStyle w:val="1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9"/>
        <w:gridCol w:w="1639"/>
        <w:gridCol w:w="1639"/>
        <w:gridCol w:w="1639"/>
        <w:gridCol w:w="16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1639" w:type="dxa"/>
            <w:vAlign w:val="center"/>
          </w:tcPr>
          <w:p>
            <w:pPr>
              <w:spacing w:before="163"/>
              <w:ind w:firstLine="0" w:firstLineChars="0"/>
              <w:jc w:val="center"/>
              <w:rPr>
                <w:b/>
              </w:rPr>
            </w:pPr>
            <w:r>
              <w:rPr>
                <w:b/>
              </w:rPr>
              <w:t>项目</w:t>
            </w:r>
          </w:p>
        </w:tc>
        <w:tc>
          <w:tcPr>
            <w:tcW w:w="1639" w:type="dxa"/>
            <w:vAlign w:val="center"/>
          </w:tcPr>
          <w:p>
            <w:pPr>
              <w:spacing w:before="163"/>
              <w:ind w:firstLine="0" w:firstLineChars="0"/>
              <w:jc w:val="center"/>
              <w:rPr>
                <w:b/>
                <w:sz w:val="28"/>
              </w:rPr>
            </w:pPr>
            <w:r>
              <w:rPr>
                <w:rFonts w:hint="eastAsia"/>
                <w:b/>
              </w:rPr>
              <w:t>全国计算机等级考试</w:t>
            </w:r>
          </w:p>
        </w:tc>
        <w:tc>
          <w:tcPr>
            <w:tcW w:w="1639" w:type="dxa"/>
            <w:vAlign w:val="center"/>
          </w:tcPr>
          <w:p>
            <w:pPr>
              <w:spacing w:before="163"/>
              <w:ind w:firstLine="0" w:firstLineChars="0"/>
              <w:jc w:val="center"/>
              <w:rPr>
                <w:b/>
                <w:sz w:val="28"/>
              </w:rPr>
            </w:pPr>
            <w:r>
              <w:rPr>
                <w:rFonts w:hint="eastAsia"/>
                <w:b/>
              </w:rPr>
              <w:t>全国英语等级考试</w:t>
            </w:r>
          </w:p>
        </w:tc>
        <w:tc>
          <w:tcPr>
            <w:tcW w:w="1639" w:type="dxa"/>
            <w:vAlign w:val="center"/>
          </w:tcPr>
          <w:p>
            <w:pPr>
              <w:spacing w:before="163"/>
              <w:ind w:firstLine="0" w:firstLineChars="0"/>
              <w:jc w:val="center"/>
              <w:rPr>
                <w:b/>
                <w:sz w:val="28"/>
              </w:rPr>
            </w:pPr>
            <w:r>
              <w:rPr>
                <w:rFonts w:hint="eastAsia"/>
                <w:b/>
              </w:rPr>
              <w:t>广东省专业技能考试</w:t>
            </w:r>
          </w:p>
        </w:tc>
        <w:tc>
          <w:tcPr>
            <w:tcW w:w="1640" w:type="dxa"/>
            <w:vAlign w:val="center"/>
          </w:tcPr>
          <w:p>
            <w:pPr>
              <w:spacing w:before="163"/>
              <w:ind w:firstLine="0" w:firstLineChars="0"/>
              <w:jc w:val="center"/>
              <w:rPr>
                <w:b/>
              </w:rPr>
            </w:pPr>
            <w:r>
              <w:rPr>
                <w:rFonts w:hint="eastAsia"/>
                <w:b/>
              </w:rPr>
              <w:t>技能鉴定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jc w:val="center"/>
        </w:trPr>
        <w:tc>
          <w:tcPr>
            <w:tcW w:w="1639" w:type="dxa"/>
            <w:vAlign w:val="center"/>
          </w:tcPr>
          <w:p>
            <w:pPr>
              <w:spacing w:before="163"/>
              <w:ind w:firstLine="0" w:firstLineChars="0"/>
              <w:jc w:val="center"/>
            </w:pPr>
            <w:r>
              <w:rPr>
                <w:rFonts w:hint="eastAsia"/>
              </w:rPr>
              <w:t>2018~2019学年度</w:t>
            </w:r>
          </w:p>
        </w:tc>
        <w:tc>
          <w:tcPr>
            <w:tcW w:w="1639" w:type="dxa"/>
            <w:vAlign w:val="center"/>
          </w:tcPr>
          <w:p>
            <w:pPr>
              <w:spacing w:before="163"/>
              <w:ind w:firstLine="480"/>
              <w:jc w:val="center"/>
            </w:pPr>
            <w:r>
              <w:rPr>
                <w:rFonts w:hint="eastAsia"/>
              </w:rPr>
              <w:t>907</w:t>
            </w:r>
          </w:p>
        </w:tc>
        <w:tc>
          <w:tcPr>
            <w:tcW w:w="1639" w:type="dxa"/>
            <w:vAlign w:val="center"/>
          </w:tcPr>
          <w:p>
            <w:pPr>
              <w:spacing w:before="163"/>
              <w:ind w:firstLine="480"/>
              <w:jc w:val="center"/>
            </w:pPr>
            <w:r>
              <w:rPr>
                <w:rFonts w:hint="eastAsia"/>
              </w:rPr>
              <w:t>75</w:t>
            </w:r>
          </w:p>
        </w:tc>
        <w:tc>
          <w:tcPr>
            <w:tcW w:w="1639" w:type="dxa"/>
            <w:vAlign w:val="center"/>
          </w:tcPr>
          <w:p>
            <w:pPr>
              <w:spacing w:before="163"/>
              <w:ind w:firstLine="480"/>
              <w:jc w:val="center"/>
            </w:pPr>
            <w:r>
              <w:rPr>
                <w:rFonts w:hint="eastAsia"/>
              </w:rPr>
              <w:t>727</w:t>
            </w:r>
          </w:p>
        </w:tc>
        <w:tc>
          <w:tcPr>
            <w:tcW w:w="1640" w:type="dxa"/>
            <w:vAlign w:val="center"/>
          </w:tcPr>
          <w:p>
            <w:pPr>
              <w:spacing w:before="163"/>
              <w:ind w:firstLine="480"/>
              <w:jc w:val="center"/>
            </w:pPr>
            <w:r>
              <w:rPr>
                <w:rFonts w:hint="eastAsia"/>
              </w:rPr>
              <w:t>252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1639" w:type="dxa"/>
            <w:vAlign w:val="center"/>
          </w:tcPr>
          <w:p>
            <w:pPr>
              <w:spacing w:before="163"/>
              <w:ind w:firstLine="0" w:firstLineChars="0"/>
              <w:jc w:val="center"/>
            </w:pPr>
            <w:r>
              <w:rPr>
                <w:rFonts w:hint="eastAsia"/>
              </w:rPr>
              <w:t>2017~2018学年度</w:t>
            </w:r>
          </w:p>
        </w:tc>
        <w:tc>
          <w:tcPr>
            <w:tcW w:w="1639" w:type="dxa"/>
            <w:vAlign w:val="center"/>
          </w:tcPr>
          <w:p>
            <w:pPr>
              <w:spacing w:before="163"/>
              <w:ind w:firstLine="480"/>
              <w:jc w:val="center"/>
            </w:pPr>
            <w:r>
              <w:rPr>
                <w:rFonts w:hint="eastAsia"/>
              </w:rPr>
              <w:t>966</w:t>
            </w:r>
          </w:p>
        </w:tc>
        <w:tc>
          <w:tcPr>
            <w:tcW w:w="1639" w:type="dxa"/>
            <w:vAlign w:val="center"/>
          </w:tcPr>
          <w:p>
            <w:pPr>
              <w:spacing w:before="163"/>
              <w:ind w:firstLine="480"/>
              <w:jc w:val="center"/>
            </w:pPr>
            <w:r>
              <w:rPr>
                <w:rFonts w:hint="eastAsia"/>
              </w:rPr>
              <w:t>71</w:t>
            </w:r>
          </w:p>
        </w:tc>
        <w:tc>
          <w:tcPr>
            <w:tcW w:w="1639" w:type="dxa"/>
            <w:vAlign w:val="center"/>
          </w:tcPr>
          <w:p>
            <w:pPr>
              <w:spacing w:before="163"/>
              <w:ind w:firstLine="480"/>
              <w:jc w:val="center"/>
            </w:pPr>
            <w:r>
              <w:rPr>
                <w:rFonts w:hint="eastAsia"/>
              </w:rPr>
              <w:t>657</w:t>
            </w:r>
          </w:p>
        </w:tc>
        <w:tc>
          <w:tcPr>
            <w:tcW w:w="1640" w:type="dxa"/>
            <w:vAlign w:val="center"/>
          </w:tcPr>
          <w:p>
            <w:pPr>
              <w:spacing w:before="163"/>
              <w:ind w:firstLine="480"/>
              <w:jc w:val="center"/>
            </w:pPr>
            <w:r>
              <w:rPr>
                <w:rFonts w:hint="eastAsia"/>
              </w:rPr>
              <w:t>287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1639" w:type="dxa"/>
            <w:vAlign w:val="center"/>
          </w:tcPr>
          <w:p>
            <w:pPr>
              <w:spacing w:before="163"/>
              <w:ind w:firstLine="0" w:firstLineChars="0"/>
              <w:jc w:val="center"/>
            </w:pPr>
            <w:r>
              <w:rPr>
                <w:rFonts w:hint="eastAsia"/>
              </w:rPr>
              <w:t>增长率</w:t>
            </w:r>
          </w:p>
        </w:tc>
        <w:tc>
          <w:tcPr>
            <w:tcW w:w="1639" w:type="dxa"/>
            <w:vAlign w:val="center"/>
          </w:tcPr>
          <w:p>
            <w:pPr>
              <w:spacing w:before="163"/>
              <w:ind w:firstLine="480"/>
              <w:jc w:val="center"/>
            </w:pPr>
            <w:r>
              <w:rPr>
                <w:rFonts w:hint="eastAsia"/>
              </w:rPr>
              <w:t>-6.1%</w:t>
            </w:r>
          </w:p>
        </w:tc>
        <w:tc>
          <w:tcPr>
            <w:tcW w:w="1639" w:type="dxa"/>
            <w:vAlign w:val="center"/>
          </w:tcPr>
          <w:p>
            <w:pPr>
              <w:spacing w:before="163"/>
              <w:ind w:firstLine="480"/>
              <w:jc w:val="center"/>
            </w:pPr>
            <w:r>
              <w:rPr>
                <w:rFonts w:hint="eastAsia"/>
              </w:rPr>
              <w:t>5.3%</w:t>
            </w:r>
          </w:p>
        </w:tc>
        <w:tc>
          <w:tcPr>
            <w:tcW w:w="1639" w:type="dxa"/>
            <w:vAlign w:val="center"/>
          </w:tcPr>
          <w:p>
            <w:pPr>
              <w:spacing w:before="163"/>
              <w:ind w:firstLine="480"/>
              <w:jc w:val="center"/>
            </w:pPr>
            <w:r>
              <w:rPr>
                <w:rFonts w:hint="eastAsia"/>
              </w:rPr>
              <w:t>10.7%</w:t>
            </w:r>
          </w:p>
        </w:tc>
        <w:tc>
          <w:tcPr>
            <w:tcW w:w="1640" w:type="dxa"/>
            <w:vAlign w:val="center"/>
          </w:tcPr>
          <w:p>
            <w:pPr>
              <w:spacing w:before="163"/>
              <w:ind w:firstLine="480"/>
              <w:jc w:val="center"/>
            </w:pPr>
            <w:r>
              <w:rPr>
                <w:rFonts w:hint="eastAsia"/>
              </w:rPr>
              <w:t>-12.2%</w:t>
            </w:r>
          </w:p>
        </w:tc>
      </w:tr>
    </w:tbl>
    <w:p>
      <w:pPr>
        <w:spacing w:before="163"/>
        <w:ind w:firstLine="480"/>
      </w:pPr>
      <w:r>
        <w:rPr>
          <w:rFonts w:hint="eastAsia"/>
        </w:rPr>
        <w:t>其中2017~2018学年度全国计算机等级考试校外培训人员418人，2018~2019学年度全国计算机等级考试校外培训人员453人，2017~2018学年度广东省专业技能考试校外培训人员237人，2018~2019学年度广东省专业技能考试校外培训人员353人。在2018—2019年度另外还有其他地方委托的劳动力转移培训项目合共培训人次908人次。有效推进区域联动、多向拓展、资源共享的人才培养格局的形成，更好的服务区域经济发展，为区域的人才发展添砖加瓦。</w:t>
      </w:r>
    </w:p>
    <w:p>
      <w:pPr>
        <w:spacing w:before="163"/>
        <w:ind w:firstLine="0" w:firstLineChars="0"/>
        <w:rPr>
          <w:color w:val="C0504D"/>
        </w:rPr>
      </w:pPr>
    </w:p>
    <w:p>
      <w:pPr>
        <w:pStyle w:val="3"/>
        <w:spacing w:before="163"/>
      </w:pPr>
      <w:bookmarkStart w:id="9" w:name="_Toc29995103"/>
      <w:bookmarkStart w:id="10" w:name="_Toc505003754"/>
      <w:r>
        <w:rPr>
          <w:rFonts w:hint="eastAsia"/>
        </w:rPr>
        <w:t>1.3教师队伍</w:t>
      </w:r>
      <w:bookmarkEnd w:id="9"/>
    </w:p>
    <w:p>
      <w:pPr>
        <w:pStyle w:val="3"/>
        <w:spacing w:before="163"/>
        <w:ind w:firstLine="480" w:firstLineChars="200"/>
        <w:rPr>
          <w:rFonts w:ascii="Times New Roman" w:hAnsi="Times New Roman" w:eastAsia="宋体"/>
          <w:b w:val="0"/>
          <w:bCs w:val="0"/>
          <w:sz w:val="24"/>
          <w:szCs w:val="24"/>
        </w:rPr>
      </w:pPr>
      <w:bookmarkStart w:id="11" w:name="_Toc29995104"/>
      <w:r>
        <w:rPr>
          <w:rFonts w:hint="eastAsia" w:ascii="Times New Roman" w:hAnsi="Times New Roman" w:eastAsia="宋体"/>
          <w:b w:val="0"/>
          <w:bCs w:val="0"/>
          <w:sz w:val="24"/>
          <w:szCs w:val="24"/>
        </w:rPr>
        <w:t>学校师资力量雄厚，拥有一支充满活力、爱岗敬业、教育教学能力强的教师队伍，2018-2019学年度学校有专任教师203人，其中外聘教师17人，企业能工巧匠11人。经过不断优化，我校目前拥有研究生以上学历3人，且较去年增加在读研究生9人，硕士研究生及以上学历教师占</w:t>
      </w:r>
      <w:r>
        <w:rPr>
          <w:rFonts w:ascii="Times New Roman" w:hAnsi="Times New Roman" w:eastAsia="宋体"/>
          <w:b w:val="0"/>
          <w:bCs w:val="0"/>
          <w:sz w:val="24"/>
          <w:szCs w:val="24"/>
        </w:rPr>
        <w:t>5.37</w:t>
      </w:r>
      <w:r>
        <w:rPr>
          <w:rFonts w:hint="eastAsia" w:ascii="Times New Roman" w:hAnsi="Times New Roman" w:eastAsia="宋体"/>
          <w:b w:val="0"/>
          <w:bCs w:val="0"/>
          <w:sz w:val="24"/>
          <w:szCs w:val="24"/>
        </w:rPr>
        <w:t>%，专任教师本科以上学历100%，具有高级技术职称 39 人，占专任教师总数的20.96%，特级教师1人，南粤优秀教育工作者1人，南粤优秀教师3人，潮汕星河辉勇师表奖3人；专业教师117人，占专任教师数的67.6%，其中，“双师型”教师68人，占专业教师数的58.1％，教师数与学生数的比例是1：19.4，较去年的1：17.42略有下降。学校十分重视教师队伍建设，不断强化师德教育和师风建设，将教学管理、教学研究、教育科研和教学效益有机地结合起来，构建了新的教学工作体系。办学实践证明，形成一支团结、爱岗、敬业、勤奋、高效的教师队伍是我校提高教育质量的关键所在。</w:t>
      </w:r>
      <w:bookmarkEnd w:id="11"/>
    </w:p>
    <w:p>
      <w:pPr>
        <w:pStyle w:val="3"/>
        <w:spacing w:before="163"/>
        <w:ind w:firstLine="643" w:firstLineChars="200"/>
      </w:pPr>
      <w:bookmarkStart w:id="12" w:name="_Toc29995105"/>
      <w:r>
        <w:rPr>
          <w:rFonts w:hint="eastAsia"/>
        </w:rPr>
        <w:t>1.4设施设备</w:t>
      </w:r>
      <w:bookmarkEnd w:id="10"/>
      <w:bookmarkEnd w:id="12"/>
    </w:p>
    <w:p>
      <w:pPr>
        <w:spacing w:before="163"/>
        <w:ind w:firstLine="480"/>
        <w:jc w:val="left"/>
      </w:pPr>
      <w:bookmarkStart w:id="13" w:name="_Toc505003755"/>
      <w:r>
        <w:rPr>
          <w:rFonts w:hint="eastAsia"/>
        </w:rPr>
        <w:t>为了适应职业教育发展的新形势和对人才培养的要求，结合学校的发展目标和专业建设发展规划，学校逐步将实训场室的建设向智能化方向调整，今年学校获得了动漫双精准专项建设资金合计共200万元。并同时学校自筹经费扩建了烹饪专业实训室，共投资了115多万元。在榕城区教育局的创建教育现代化的工作中，为我校增添了200台教学电脑，并同时为学校的每个教室都配备了多媒体教学工作，以及为每个教师办公座位都增加了办公电脑。目前我校实验实训室面积及仪器设备值均符合国家有关规定，为学生提供实习实训、工学结合的工作情景，培养学生职业素养，提升学生综合素质，实习实训基地为相关专业技能培训、劳动力培训、技能考核、技能竞赛、教产研发、课程教学、毕业设计、科研项目实践的重要基地。</w:t>
      </w:r>
    </w:p>
    <w:p>
      <w:pPr>
        <w:pStyle w:val="4"/>
        <w:spacing w:before="163"/>
      </w:pPr>
      <w:bookmarkStart w:id="14" w:name="_Toc29995106"/>
      <w:r>
        <w:t>1</w:t>
      </w:r>
      <w:r>
        <w:rPr>
          <w:rFonts w:hint="eastAsia"/>
        </w:rPr>
        <w:t>.4.1实训基地概况</w:t>
      </w:r>
      <w:bookmarkEnd w:id="13"/>
      <w:bookmarkEnd w:id="14"/>
      <w:r>
        <w:t xml:space="preserve"> </w:t>
      </w:r>
    </w:p>
    <w:p>
      <w:pPr>
        <w:ind w:firstLine="480"/>
      </w:pPr>
      <w:bookmarkStart w:id="15" w:name="_Toc307217777"/>
      <w:r>
        <w:rPr>
          <w:rFonts w:hint="eastAsia"/>
        </w:rPr>
        <w:t>学校建有各专业配套实训基地，其中有8个广东省中等职业教育实训基地，共有100多间实习实训室，校内实践教学场所面积22050平方米，生均实践场所面积6.1平方米，校内实践教学工位数5150个，比去年增加420个，生均实训实习工位数1.3，较去年生均1.2个略有提升。实习实训工位数的增加主要得益于学校动漫专业获得了双精准专项建设资金合计共200万元，开展了第一期实训场室的建设，另外学校自筹经费扩建了烹饪专业实训室，共投资了115多万元，增加了一定的实训实习工位数。</w:t>
      </w:r>
    </w:p>
    <w:p>
      <w:pPr>
        <w:ind w:firstLine="480"/>
      </w:pPr>
      <w:r>
        <w:rPr>
          <w:rFonts w:hint="eastAsia"/>
        </w:rPr>
        <w:t>另外学校目前拥有8个广东省中等职业教育实训基地，共有100多间实习实训室，校内实践教学场所面积22050平方米，生均实践场所面积6.1平方米，校内实践教学工位数4730 。</w:t>
      </w:r>
    </w:p>
    <w:p>
      <w:pPr>
        <w:spacing w:before="163"/>
        <w:ind w:firstLine="480"/>
      </w:pPr>
    </w:p>
    <w:p>
      <w:pPr>
        <w:spacing w:before="163"/>
        <w:ind w:firstLine="482"/>
        <w:jc w:val="center"/>
        <w:rPr>
          <w:rFonts w:ascii="黑体" w:hAnsi="黑体" w:eastAsia="黑体" w:cs="宋体"/>
          <w:b/>
          <w:bCs/>
          <w:kern w:val="0"/>
          <w:szCs w:val="21"/>
        </w:rPr>
      </w:pPr>
      <w:r>
        <w:rPr>
          <w:rFonts w:hint="eastAsia" w:ascii="黑体" w:hAnsi="黑体" w:eastAsia="黑体"/>
          <w:b/>
        </w:rPr>
        <w:t xml:space="preserve">表1.4.1 </w:t>
      </w:r>
      <w:r>
        <w:rPr>
          <w:rFonts w:hint="eastAsia" w:ascii="黑体" w:hAnsi="黑体" w:eastAsia="黑体" w:cs="宋体"/>
          <w:b/>
          <w:bCs/>
          <w:kern w:val="0"/>
          <w:szCs w:val="21"/>
        </w:rPr>
        <w:t>省级中等职业教育专业实训基地一览表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1365"/>
        <w:gridCol w:w="3570"/>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Align w:val="center"/>
          </w:tcPr>
          <w:p>
            <w:pPr>
              <w:spacing w:before="163"/>
              <w:ind w:firstLine="0" w:firstLineChars="0"/>
              <w:jc w:val="center"/>
              <w:rPr>
                <w:sz w:val="18"/>
                <w:szCs w:val="18"/>
              </w:rPr>
            </w:pPr>
            <w:r>
              <w:rPr>
                <w:rFonts w:hint="eastAsia"/>
                <w:sz w:val="18"/>
                <w:szCs w:val="18"/>
              </w:rPr>
              <w:t>序号</w:t>
            </w:r>
          </w:p>
        </w:tc>
        <w:tc>
          <w:tcPr>
            <w:tcW w:w="1365" w:type="dxa"/>
            <w:vAlign w:val="center"/>
          </w:tcPr>
          <w:p>
            <w:pPr>
              <w:spacing w:before="163"/>
              <w:ind w:firstLine="0" w:firstLineChars="0"/>
              <w:jc w:val="center"/>
              <w:rPr>
                <w:sz w:val="18"/>
                <w:szCs w:val="18"/>
              </w:rPr>
            </w:pPr>
            <w:r>
              <w:rPr>
                <w:rFonts w:hint="eastAsia"/>
                <w:sz w:val="18"/>
                <w:szCs w:val="18"/>
              </w:rPr>
              <w:t>专业名称</w:t>
            </w:r>
          </w:p>
        </w:tc>
        <w:tc>
          <w:tcPr>
            <w:tcW w:w="3570" w:type="dxa"/>
            <w:vAlign w:val="center"/>
          </w:tcPr>
          <w:p>
            <w:pPr>
              <w:spacing w:before="163"/>
              <w:ind w:firstLine="0" w:firstLineChars="0"/>
              <w:jc w:val="center"/>
              <w:rPr>
                <w:sz w:val="18"/>
                <w:szCs w:val="18"/>
              </w:rPr>
            </w:pPr>
            <w:r>
              <w:rPr>
                <w:rFonts w:hint="eastAsia"/>
                <w:sz w:val="18"/>
                <w:szCs w:val="18"/>
              </w:rPr>
              <w:t>省级以上专项资金建设实训基地</w:t>
            </w:r>
          </w:p>
        </w:tc>
        <w:tc>
          <w:tcPr>
            <w:tcW w:w="3823" w:type="dxa"/>
            <w:vAlign w:val="center"/>
          </w:tcPr>
          <w:p>
            <w:pPr>
              <w:spacing w:before="163"/>
              <w:ind w:firstLine="0" w:firstLineChars="0"/>
              <w:jc w:val="center"/>
              <w:rPr>
                <w:sz w:val="18"/>
                <w:szCs w:val="18"/>
              </w:rPr>
            </w:pPr>
            <w:r>
              <w:rPr>
                <w:rFonts w:hint="eastAsia"/>
                <w:sz w:val="18"/>
                <w:szCs w:val="18"/>
              </w:rPr>
              <w:t>场室名称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Align w:val="center"/>
          </w:tcPr>
          <w:p>
            <w:pPr>
              <w:spacing w:before="163"/>
              <w:ind w:firstLine="0" w:firstLineChars="0"/>
              <w:jc w:val="center"/>
              <w:rPr>
                <w:sz w:val="18"/>
                <w:szCs w:val="18"/>
              </w:rPr>
            </w:pPr>
            <w:r>
              <w:rPr>
                <w:rFonts w:hint="eastAsia"/>
                <w:sz w:val="18"/>
                <w:szCs w:val="18"/>
              </w:rPr>
              <w:t>1</w:t>
            </w:r>
          </w:p>
        </w:tc>
        <w:tc>
          <w:tcPr>
            <w:tcW w:w="1365" w:type="dxa"/>
            <w:vAlign w:val="center"/>
          </w:tcPr>
          <w:p>
            <w:pPr>
              <w:spacing w:before="163"/>
              <w:ind w:firstLine="0" w:firstLineChars="0"/>
              <w:jc w:val="center"/>
              <w:rPr>
                <w:sz w:val="18"/>
                <w:szCs w:val="18"/>
              </w:rPr>
            </w:pPr>
            <w:r>
              <w:rPr>
                <w:rFonts w:hint="eastAsia"/>
                <w:sz w:val="18"/>
                <w:szCs w:val="18"/>
              </w:rPr>
              <w:t>电子与信息技术</w:t>
            </w:r>
          </w:p>
        </w:tc>
        <w:tc>
          <w:tcPr>
            <w:tcW w:w="3570" w:type="dxa"/>
            <w:vAlign w:val="center"/>
          </w:tcPr>
          <w:p>
            <w:pPr>
              <w:spacing w:before="163"/>
              <w:ind w:firstLine="0" w:firstLineChars="0"/>
              <w:jc w:val="center"/>
              <w:rPr>
                <w:sz w:val="18"/>
                <w:szCs w:val="18"/>
              </w:rPr>
            </w:pPr>
            <w:r>
              <w:rPr>
                <w:rFonts w:hint="eastAsia"/>
                <w:sz w:val="18"/>
                <w:szCs w:val="18"/>
              </w:rPr>
              <w:t>中央财政支持中等职业学校重点建设专业实训基地</w:t>
            </w:r>
          </w:p>
          <w:p>
            <w:pPr>
              <w:spacing w:before="163"/>
              <w:ind w:firstLine="0" w:firstLineChars="0"/>
              <w:jc w:val="center"/>
              <w:rPr>
                <w:sz w:val="18"/>
                <w:szCs w:val="18"/>
              </w:rPr>
            </w:pPr>
            <w:r>
              <w:rPr>
                <w:rFonts w:hint="eastAsia"/>
                <w:sz w:val="18"/>
                <w:szCs w:val="18"/>
              </w:rPr>
              <w:t>广东省中等职业教育电子与信息技术专业实训基地</w:t>
            </w:r>
          </w:p>
        </w:tc>
        <w:tc>
          <w:tcPr>
            <w:tcW w:w="3823" w:type="dxa"/>
            <w:vAlign w:val="center"/>
          </w:tcPr>
          <w:p>
            <w:pPr>
              <w:spacing w:before="163"/>
              <w:ind w:firstLine="0" w:firstLineChars="0"/>
              <w:jc w:val="center"/>
              <w:rPr>
                <w:sz w:val="18"/>
                <w:szCs w:val="18"/>
              </w:rPr>
            </w:pPr>
            <w:r>
              <w:rPr>
                <w:rFonts w:hint="eastAsia"/>
                <w:sz w:val="18"/>
                <w:szCs w:val="18"/>
              </w:rPr>
              <w:t>电子装配室、电子装配与考核室、机械制图与测绘技术实训室、电子省赛培训及考核办公室室、电子工艺EAD实训室、综合布线实训室、家电电视整机维修实操室、传感器检测技术实训室，单片机/PLC实训室、单片机技术实训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Align w:val="center"/>
          </w:tcPr>
          <w:p>
            <w:pPr>
              <w:spacing w:before="163"/>
              <w:ind w:firstLine="0" w:firstLineChars="0"/>
              <w:jc w:val="center"/>
              <w:rPr>
                <w:sz w:val="18"/>
                <w:szCs w:val="18"/>
              </w:rPr>
            </w:pPr>
            <w:r>
              <w:rPr>
                <w:rFonts w:hint="eastAsia"/>
                <w:sz w:val="18"/>
                <w:szCs w:val="18"/>
              </w:rPr>
              <w:t>2</w:t>
            </w:r>
          </w:p>
        </w:tc>
        <w:tc>
          <w:tcPr>
            <w:tcW w:w="1365" w:type="dxa"/>
            <w:vAlign w:val="center"/>
          </w:tcPr>
          <w:p>
            <w:pPr>
              <w:spacing w:before="163"/>
              <w:ind w:firstLine="0" w:firstLineChars="0"/>
              <w:jc w:val="center"/>
              <w:rPr>
                <w:sz w:val="18"/>
                <w:szCs w:val="18"/>
              </w:rPr>
            </w:pPr>
            <w:r>
              <w:rPr>
                <w:rFonts w:hint="eastAsia"/>
                <w:sz w:val="18"/>
                <w:szCs w:val="18"/>
              </w:rPr>
              <w:t>计算机应用</w:t>
            </w:r>
          </w:p>
        </w:tc>
        <w:tc>
          <w:tcPr>
            <w:tcW w:w="3570" w:type="dxa"/>
            <w:vAlign w:val="center"/>
          </w:tcPr>
          <w:p>
            <w:pPr>
              <w:spacing w:before="163"/>
              <w:ind w:firstLine="0" w:firstLineChars="0"/>
              <w:jc w:val="center"/>
              <w:rPr>
                <w:sz w:val="18"/>
                <w:szCs w:val="18"/>
              </w:rPr>
            </w:pPr>
            <w:r>
              <w:rPr>
                <w:rFonts w:hint="eastAsia"/>
                <w:sz w:val="18"/>
                <w:szCs w:val="18"/>
              </w:rPr>
              <w:t>中央财政支持中等职业学校重点建设专业实训基地</w:t>
            </w:r>
          </w:p>
          <w:p>
            <w:pPr>
              <w:spacing w:before="163"/>
              <w:ind w:firstLine="0" w:firstLineChars="0"/>
              <w:jc w:val="center"/>
              <w:rPr>
                <w:sz w:val="18"/>
                <w:szCs w:val="18"/>
              </w:rPr>
            </w:pPr>
            <w:r>
              <w:rPr>
                <w:rFonts w:hint="eastAsia"/>
                <w:sz w:val="18"/>
                <w:szCs w:val="18"/>
              </w:rPr>
              <w:t>广东省中等职业教育计算机应用专业实训基地</w:t>
            </w:r>
          </w:p>
        </w:tc>
        <w:tc>
          <w:tcPr>
            <w:tcW w:w="3823" w:type="dxa"/>
            <w:vAlign w:val="center"/>
          </w:tcPr>
          <w:p>
            <w:pPr>
              <w:spacing w:before="163"/>
              <w:ind w:firstLine="0" w:firstLineChars="0"/>
              <w:jc w:val="center"/>
              <w:rPr>
                <w:sz w:val="18"/>
                <w:szCs w:val="18"/>
              </w:rPr>
            </w:pPr>
            <w:r>
              <w:rPr>
                <w:rFonts w:hint="eastAsia"/>
                <w:sz w:val="18"/>
                <w:szCs w:val="18"/>
              </w:rPr>
              <w:t>计算机基础实训室、计算机软件开发与测试实训室、计算机组装与维护实训室、超大计算机房，标准计算机房，网络室、网络技术实训室等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Align w:val="center"/>
          </w:tcPr>
          <w:p>
            <w:pPr>
              <w:spacing w:before="163"/>
              <w:ind w:firstLine="0" w:firstLineChars="0"/>
              <w:jc w:val="center"/>
              <w:rPr>
                <w:sz w:val="18"/>
                <w:szCs w:val="18"/>
              </w:rPr>
            </w:pPr>
            <w:r>
              <w:rPr>
                <w:rFonts w:hint="eastAsia"/>
                <w:sz w:val="18"/>
                <w:szCs w:val="18"/>
              </w:rPr>
              <w:t>3</w:t>
            </w:r>
          </w:p>
        </w:tc>
        <w:tc>
          <w:tcPr>
            <w:tcW w:w="1365" w:type="dxa"/>
            <w:vAlign w:val="center"/>
          </w:tcPr>
          <w:p>
            <w:pPr>
              <w:spacing w:before="163"/>
              <w:ind w:firstLine="0" w:firstLineChars="0"/>
              <w:jc w:val="center"/>
              <w:rPr>
                <w:sz w:val="18"/>
                <w:szCs w:val="18"/>
              </w:rPr>
            </w:pPr>
            <w:r>
              <w:rPr>
                <w:rFonts w:hint="eastAsia"/>
                <w:sz w:val="18"/>
                <w:szCs w:val="18"/>
              </w:rPr>
              <w:t>机电技术应用</w:t>
            </w:r>
          </w:p>
        </w:tc>
        <w:tc>
          <w:tcPr>
            <w:tcW w:w="3570" w:type="dxa"/>
            <w:vAlign w:val="center"/>
          </w:tcPr>
          <w:p>
            <w:pPr>
              <w:spacing w:before="163"/>
              <w:ind w:firstLine="0" w:firstLineChars="0"/>
              <w:jc w:val="center"/>
              <w:rPr>
                <w:sz w:val="18"/>
                <w:szCs w:val="18"/>
              </w:rPr>
            </w:pPr>
            <w:r>
              <w:rPr>
                <w:rFonts w:hint="eastAsia"/>
                <w:sz w:val="18"/>
                <w:szCs w:val="18"/>
              </w:rPr>
              <w:t>广东省中等职业学校重点建设专业实训基地</w:t>
            </w:r>
          </w:p>
          <w:p>
            <w:pPr>
              <w:spacing w:before="163"/>
              <w:ind w:firstLine="0" w:firstLineChars="0"/>
              <w:jc w:val="center"/>
              <w:rPr>
                <w:sz w:val="18"/>
                <w:szCs w:val="18"/>
              </w:rPr>
            </w:pPr>
            <w:r>
              <w:rPr>
                <w:rFonts w:hint="eastAsia"/>
                <w:sz w:val="18"/>
                <w:szCs w:val="18"/>
              </w:rPr>
              <w:t>广东省中等职业教育机电技术应用专业实训基地</w:t>
            </w:r>
          </w:p>
        </w:tc>
        <w:tc>
          <w:tcPr>
            <w:tcW w:w="3823" w:type="dxa"/>
            <w:vAlign w:val="center"/>
          </w:tcPr>
          <w:p>
            <w:pPr>
              <w:spacing w:before="163"/>
              <w:ind w:firstLine="0" w:firstLineChars="0"/>
              <w:jc w:val="center"/>
              <w:rPr>
                <w:sz w:val="18"/>
                <w:szCs w:val="18"/>
              </w:rPr>
            </w:pPr>
            <w:r>
              <w:rPr>
                <w:rFonts w:hint="eastAsia"/>
                <w:sz w:val="18"/>
                <w:szCs w:val="18"/>
              </w:rPr>
              <w:t>电子装配室、EDA电子设计自动化实训室、电力拖动实验室、PLC室、光机电一体化自动控制室、维修电工实训考核室、钳工实训室、多媒体教学实训室等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Align w:val="center"/>
          </w:tcPr>
          <w:p>
            <w:pPr>
              <w:spacing w:before="163"/>
              <w:ind w:firstLine="0" w:firstLineChars="0"/>
              <w:jc w:val="center"/>
              <w:rPr>
                <w:sz w:val="18"/>
                <w:szCs w:val="18"/>
              </w:rPr>
            </w:pPr>
            <w:r>
              <w:rPr>
                <w:rFonts w:hint="eastAsia"/>
                <w:sz w:val="18"/>
                <w:szCs w:val="18"/>
              </w:rPr>
              <w:t>4</w:t>
            </w:r>
          </w:p>
        </w:tc>
        <w:tc>
          <w:tcPr>
            <w:tcW w:w="1365" w:type="dxa"/>
            <w:vAlign w:val="center"/>
          </w:tcPr>
          <w:p>
            <w:pPr>
              <w:spacing w:before="163"/>
              <w:ind w:firstLine="0" w:firstLineChars="0"/>
              <w:jc w:val="center"/>
              <w:rPr>
                <w:sz w:val="18"/>
                <w:szCs w:val="18"/>
              </w:rPr>
            </w:pPr>
            <w:r>
              <w:rPr>
                <w:rFonts w:hint="eastAsia"/>
                <w:sz w:val="18"/>
                <w:szCs w:val="18"/>
              </w:rPr>
              <w:t>汽车运用与维修</w:t>
            </w:r>
          </w:p>
        </w:tc>
        <w:tc>
          <w:tcPr>
            <w:tcW w:w="3570" w:type="dxa"/>
            <w:vAlign w:val="center"/>
          </w:tcPr>
          <w:p>
            <w:pPr>
              <w:spacing w:before="163"/>
              <w:ind w:firstLine="0" w:firstLineChars="0"/>
              <w:jc w:val="center"/>
              <w:rPr>
                <w:sz w:val="18"/>
                <w:szCs w:val="18"/>
              </w:rPr>
            </w:pPr>
            <w:r>
              <w:rPr>
                <w:rFonts w:hint="eastAsia"/>
                <w:sz w:val="18"/>
                <w:szCs w:val="18"/>
              </w:rPr>
              <w:t>广东省中等职业教育汽车运用与维修专业实训基地</w:t>
            </w:r>
          </w:p>
        </w:tc>
        <w:tc>
          <w:tcPr>
            <w:tcW w:w="3823" w:type="dxa"/>
            <w:vAlign w:val="center"/>
          </w:tcPr>
          <w:p>
            <w:pPr>
              <w:spacing w:before="163"/>
              <w:ind w:firstLine="0" w:firstLineChars="0"/>
              <w:jc w:val="center"/>
              <w:rPr>
                <w:sz w:val="18"/>
                <w:szCs w:val="18"/>
              </w:rPr>
            </w:pPr>
            <w:r>
              <w:rPr>
                <w:rFonts w:hint="eastAsia"/>
                <w:sz w:val="18"/>
                <w:szCs w:val="18"/>
              </w:rPr>
              <w:t>汽车底盘构造与维修实训室、汽车空调与美容实训室、汽车发动机与整车实训室、汽车电气构造与维修实训室、3D虚拟实训室等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Align w:val="center"/>
          </w:tcPr>
          <w:p>
            <w:pPr>
              <w:spacing w:before="163"/>
              <w:ind w:firstLine="0" w:firstLineChars="0"/>
              <w:jc w:val="center"/>
              <w:rPr>
                <w:sz w:val="18"/>
                <w:szCs w:val="18"/>
              </w:rPr>
            </w:pPr>
            <w:r>
              <w:rPr>
                <w:rFonts w:hint="eastAsia"/>
                <w:sz w:val="18"/>
                <w:szCs w:val="18"/>
              </w:rPr>
              <w:t>5</w:t>
            </w:r>
          </w:p>
        </w:tc>
        <w:tc>
          <w:tcPr>
            <w:tcW w:w="1365" w:type="dxa"/>
            <w:vAlign w:val="center"/>
          </w:tcPr>
          <w:p>
            <w:pPr>
              <w:spacing w:before="163"/>
              <w:ind w:firstLine="0" w:firstLineChars="0"/>
              <w:jc w:val="center"/>
              <w:rPr>
                <w:sz w:val="18"/>
                <w:szCs w:val="18"/>
              </w:rPr>
            </w:pPr>
            <w:r>
              <w:rPr>
                <w:rFonts w:hint="eastAsia"/>
                <w:sz w:val="18"/>
                <w:szCs w:val="18"/>
              </w:rPr>
              <w:t>数控技术应用</w:t>
            </w:r>
          </w:p>
        </w:tc>
        <w:tc>
          <w:tcPr>
            <w:tcW w:w="3570" w:type="dxa"/>
            <w:vAlign w:val="center"/>
          </w:tcPr>
          <w:p>
            <w:pPr>
              <w:spacing w:before="163"/>
              <w:ind w:firstLine="0" w:firstLineChars="0"/>
              <w:jc w:val="center"/>
              <w:rPr>
                <w:sz w:val="18"/>
                <w:szCs w:val="18"/>
              </w:rPr>
            </w:pPr>
            <w:r>
              <w:rPr>
                <w:rFonts w:hint="eastAsia"/>
                <w:sz w:val="18"/>
                <w:szCs w:val="18"/>
              </w:rPr>
              <w:t>广东省中等职业教育数控技术应用专业实训基地</w:t>
            </w:r>
          </w:p>
        </w:tc>
        <w:tc>
          <w:tcPr>
            <w:tcW w:w="3823" w:type="dxa"/>
            <w:vAlign w:val="center"/>
          </w:tcPr>
          <w:p>
            <w:pPr>
              <w:spacing w:before="163"/>
              <w:ind w:firstLine="0" w:firstLineChars="0"/>
              <w:jc w:val="center"/>
              <w:rPr>
                <w:sz w:val="18"/>
                <w:szCs w:val="18"/>
              </w:rPr>
            </w:pPr>
            <w:r>
              <w:rPr>
                <w:rFonts w:hint="eastAsia"/>
                <w:sz w:val="18"/>
                <w:szCs w:val="18"/>
              </w:rPr>
              <w:t>CAD/CAM实训室、普车普铣实训室、工具房、数控车床实训室、数控铣床实训室和磨刀车间实训室等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Align w:val="center"/>
          </w:tcPr>
          <w:p>
            <w:pPr>
              <w:spacing w:before="163"/>
              <w:ind w:firstLine="0" w:firstLineChars="0"/>
              <w:jc w:val="center"/>
              <w:rPr>
                <w:sz w:val="18"/>
                <w:szCs w:val="18"/>
              </w:rPr>
            </w:pPr>
            <w:r>
              <w:rPr>
                <w:rFonts w:hint="eastAsia"/>
                <w:sz w:val="18"/>
                <w:szCs w:val="18"/>
              </w:rPr>
              <w:t>6</w:t>
            </w:r>
          </w:p>
        </w:tc>
        <w:tc>
          <w:tcPr>
            <w:tcW w:w="1365" w:type="dxa"/>
            <w:vAlign w:val="center"/>
          </w:tcPr>
          <w:p>
            <w:pPr>
              <w:spacing w:before="163"/>
              <w:ind w:firstLine="0" w:firstLineChars="0"/>
              <w:jc w:val="center"/>
              <w:rPr>
                <w:sz w:val="18"/>
                <w:szCs w:val="18"/>
              </w:rPr>
            </w:pPr>
            <w:r>
              <w:rPr>
                <w:rFonts w:hint="eastAsia"/>
                <w:sz w:val="18"/>
                <w:szCs w:val="18"/>
              </w:rPr>
              <w:t>学前教育</w:t>
            </w:r>
          </w:p>
        </w:tc>
        <w:tc>
          <w:tcPr>
            <w:tcW w:w="3570" w:type="dxa"/>
            <w:vAlign w:val="center"/>
          </w:tcPr>
          <w:p>
            <w:pPr>
              <w:spacing w:before="163"/>
              <w:ind w:firstLine="0" w:firstLineChars="0"/>
              <w:jc w:val="center"/>
              <w:rPr>
                <w:sz w:val="18"/>
                <w:szCs w:val="18"/>
              </w:rPr>
            </w:pPr>
            <w:r>
              <w:rPr>
                <w:rFonts w:hint="eastAsia"/>
                <w:sz w:val="18"/>
                <w:szCs w:val="18"/>
              </w:rPr>
              <w:t>广东省中等职业教育学前教育专业实训基地</w:t>
            </w:r>
          </w:p>
        </w:tc>
        <w:tc>
          <w:tcPr>
            <w:tcW w:w="3823" w:type="dxa"/>
            <w:vAlign w:val="center"/>
          </w:tcPr>
          <w:p>
            <w:pPr>
              <w:spacing w:before="163"/>
              <w:ind w:firstLine="0" w:firstLineChars="0"/>
              <w:jc w:val="center"/>
              <w:rPr>
                <w:sz w:val="18"/>
                <w:szCs w:val="18"/>
              </w:rPr>
            </w:pPr>
            <w:r>
              <w:rPr>
                <w:rFonts w:hint="eastAsia"/>
                <w:sz w:val="18"/>
                <w:szCs w:val="18"/>
              </w:rPr>
              <w:t>钢琴实训室、电钢琴实训室、音乐厅，乐器室、声乐室、古筝室、保育婴活动实训室、舞蹈体形综合训练室、手工设计室等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Align w:val="center"/>
          </w:tcPr>
          <w:p>
            <w:pPr>
              <w:spacing w:before="163"/>
              <w:ind w:firstLine="0" w:firstLineChars="0"/>
              <w:jc w:val="center"/>
              <w:rPr>
                <w:sz w:val="18"/>
                <w:szCs w:val="18"/>
              </w:rPr>
            </w:pPr>
            <w:r>
              <w:rPr>
                <w:rFonts w:hint="eastAsia"/>
                <w:sz w:val="18"/>
                <w:szCs w:val="18"/>
              </w:rPr>
              <w:t>7</w:t>
            </w:r>
          </w:p>
        </w:tc>
        <w:tc>
          <w:tcPr>
            <w:tcW w:w="1365" w:type="dxa"/>
            <w:vAlign w:val="center"/>
          </w:tcPr>
          <w:p>
            <w:pPr>
              <w:spacing w:before="163"/>
              <w:ind w:firstLine="0" w:firstLineChars="0"/>
              <w:jc w:val="center"/>
              <w:rPr>
                <w:sz w:val="18"/>
                <w:szCs w:val="18"/>
              </w:rPr>
            </w:pPr>
            <w:r>
              <w:rPr>
                <w:rFonts w:hint="eastAsia"/>
                <w:sz w:val="18"/>
                <w:szCs w:val="18"/>
              </w:rPr>
              <w:t>电子商务</w:t>
            </w:r>
          </w:p>
        </w:tc>
        <w:tc>
          <w:tcPr>
            <w:tcW w:w="3570" w:type="dxa"/>
            <w:vAlign w:val="center"/>
          </w:tcPr>
          <w:p>
            <w:pPr>
              <w:spacing w:before="163"/>
              <w:ind w:firstLine="0" w:firstLineChars="0"/>
              <w:jc w:val="center"/>
              <w:rPr>
                <w:sz w:val="18"/>
                <w:szCs w:val="18"/>
              </w:rPr>
            </w:pPr>
            <w:r>
              <w:rPr>
                <w:rFonts w:hint="eastAsia"/>
                <w:sz w:val="18"/>
                <w:szCs w:val="18"/>
              </w:rPr>
              <w:t>广东省中等职业教育电子商务专业实训基地</w:t>
            </w:r>
          </w:p>
        </w:tc>
        <w:tc>
          <w:tcPr>
            <w:tcW w:w="3823" w:type="dxa"/>
            <w:vAlign w:val="center"/>
          </w:tcPr>
          <w:p>
            <w:pPr>
              <w:spacing w:before="163"/>
              <w:ind w:firstLine="0" w:firstLineChars="0"/>
              <w:jc w:val="center"/>
              <w:rPr>
                <w:sz w:val="18"/>
                <w:szCs w:val="18"/>
              </w:rPr>
            </w:pPr>
            <w:r>
              <w:rPr>
                <w:rFonts w:hint="eastAsia"/>
                <w:sz w:val="18"/>
                <w:szCs w:val="18"/>
              </w:rPr>
              <w:t>电子商务产品摄像实训室、网上创业实训室、图像处理实训室、图像处理实训室、电子商务实训、电子商务物流实训室、揭阳捷和军埔电商产品摄像实训室、揭阳捷和军埔实战实训室、揭阳捷和军埔洽谈实训室和揭阳捷和军埔运营实训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Align w:val="center"/>
          </w:tcPr>
          <w:p>
            <w:pPr>
              <w:spacing w:before="163"/>
              <w:ind w:firstLine="0" w:firstLineChars="0"/>
              <w:jc w:val="center"/>
              <w:rPr>
                <w:sz w:val="18"/>
                <w:szCs w:val="18"/>
              </w:rPr>
            </w:pPr>
            <w:r>
              <w:rPr>
                <w:rFonts w:hint="eastAsia"/>
                <w:sz w:val="18"/>
                <w:szCs w:val="18"/>
              </w:rPr>
              <w:t>8</w:t>
            </w:r>
          </w:p>
        </w:tc>
        <w:tc>
          <w:tcPr>
            <w:tcW w:w="1365" w:type="dxa"/>
            <w:vAlign w:val="center"/>
          </w:tcPr>
          <w:p>
            <w:pPr>
              <w:spacing w:before="163"/>
              <w:ind w:firstLine="0" w:firstLineChars="0"/>
              <w:jc w:val="center"/>
              <w:rPr>
                <w:sz w:val="18"/>
                <w:szCs w:val="18"/>
              </w:rPr>
            </w:pPr>
            <w:r>
              <w:rPr>
                <w:rFonts w:hint="eastAsia"/>
                <w:sz w:val="18"/>
                <w:szCs w:val="18"/>
              </w:rPr>
              <w:t>会计</w:t>
            </w:r>
          </w:p>
        </w:tc>
        <w:tc>
          <w:tcPr>
            <w:tcW w:w="3570" w:type="dxa"/>
            <w:vAlign w:val="center"/>
          </w:tcPr>
          <w:p>
            <w:pPr>
              <w:spacing w:before="163"/>
              <w:ind w:firstLine="0" w:firstLineChars="0"/>
              <w:jc w:val="center"/>
              <w:rPr>
                <w:sz w:val="18"/>
                <w:szCs w:val="18"/>
              </w:rPr>
            </w:pPr>
            <w:r>
              <w:rPr>
                <w:rFonts w:hint="eastAsia"/>
                <w:sz w:val="18"/>
                <w:szCs w:val="18"/>
              </w:rPr>
              <w:t>广东省中等职业教育会计专业实训基地</w:t>
            </w:r>
          </w:p>
        </w:tc>
        <w:tc>
          <w:tcPr>
            <w:tcW w:w="3823" w:type="dxa"/>
            <w:vAlign w:val="center"/>
          </w:tcPr>
          <w:p>
            <w:pPr>
              <w:spacing w:before="163"/>
              <w:ind w:firstLine="0" w:firstLineChars="0"/>
              <w:jc w:val="center"/>
              <w:rPr>
                <w:sz w:val="18"/>
                <w:szCs w:val="18"/>
              </w:rPr>
            </w:pPr>
            <w:r>
              <w:rPr>
                <w:rFonts w:hint="eastAsia"/>
                <w:sz w:val="18"/>
                <w:szCs w:val="18"/>
              </w:rPr>
              <w:t>企业经营（沙盘模拟）实训室、会计手工实训室、会计手工实训室、会计电算化实训室等</w:t>
            </w:r>
          </w:p>
        </w:tc>
      </w:tr>
      <w:bookmarkEnd w:id="15"/>
    </w:tbl>
    <w:p>
      <w:pPr>
        <w:spacing w:before="156" w:beforeLines="50" w:after="156" w:afterLines="50"/>
        <w:ind w:firstLine="482"/>
        <w:jc w:val="center"/>
        <w:rPr>
          <w:rFonts w:ascii="宋体" w:hAnsi="宋体"/>
          <w:b/>
        </w:rPr>
      </w:pPr>
    </w:p>
    <w:p>
      <w:pPr>
        <w:pStyle w:val="4"/>
        <w:spacing w:before="163"/>
      </w:pPr>
      <w:bookmarkStart w:id="16" w:name="_Toc505003756"/>
      <w:bookmarkStart w:id="17" w:name="_Toc29995107"/>
      <w:r>
        <w:t>1</w:t>
      </w:r>
      <w:r>
        <w:rPr>
          <w:rFonts w:hint="eastAsia"/>
        </w:rPr>
        <w:t>.4.2实践教学</w:t>
      </w:r>
      <w:bookmarkEnd w:id="16"/>
      <w:bookmarkEnd w:id="17"/>
    </w:p>
    <w:p>
      <w:pPr>
        <w:pStyle w:val="10"/>
        <w:spacing w:before="163"/>
      </w:pPr>
      <w:bookmarkStart w:id="18" w:name="_Toc505003757"/>
      <w:bookmarkStart w:id="19" w:name="_Toc29995108"/>
      <w:bookmarkStart w:id="20" w:name="_Toc472000937"/>
      <w:r>
        <w:t>1</w:t>
      </w:r>
      <w:r>
        <w:rPr>
          <w:rFonts w:hint="eastAsia"/>
        </w:rPr>
        <w:t>.4.2.1实训教学规范化常态化管理，向时间要效率，向质量要效益。</w:t>
      </w:r>
      <w:bookmarkEnd w:id="18"/>
      <w:bookmarkEnd w:id="19"/>
      <w:bookmarkEnd w:id="20"/>
    </w:p>
    <w:p>
      <w:pPr>
        <w:spacing w:before="163"/>
        <w:ind w:firstLine="480"/>
      </w:pPr>
      <w:r>
        <w:rPr>
          <w:rFonts w:hint="eastAsia"/>
        </w:rPr>
        <w:t>学校结合实际制订学校管理制度，实行规范化管理。学校与一百多家企业签订合作协议，在校外建立了各专业相应的实训、实习基地，满足了不同教学阶段学生接受专业实习和顶岗实习的教学需要，还与校外实训基地有关单位开展了深层次的合作，聘请行业、企业专家、能工巧匠来校兼课和作为学生实训实习指导教师。</w:t>
      </w:r>
    </w:p>
    <w:p>
      <w:pPr>
        <w:pStyle w:val="10"/>
        <w:spacing w:before="163"/>
      </w:pPr>
      <w:bookmarkStart w:id="21" w:name="_Toc472000938"/>
      <w:bookmarkStart w:id="22" w:name="_Toc29995109"/>
      <w:bookmarkStart w:id="23" w:name="_Toc505003758"/>
      <w:r>
        <w:t>1</w:t>
      </w:r>
      <w:r>
        <w:rPr>
          <w:rFonts w:hint="eastAsia"/>
        </w:rPr>
        <w:t>.4.2.2加强内涵管理，深化校企合作，创新人才培养模式，引企入校，工学结合，共建校内实训基地，推进专业实训基地建设。</w:t>
      </w:r>
      <w:bookmarkEnd w:id="21"/>
      <w:bookmarkEnd w:id="22"/>
      <w:bookmarkEnd w:id="23"/>
    </w:p>
    <w:p>
      <w:pPr>
        <w:spacing w:before="163"/>
        <w:ind w:firstLine="480"/>
      </w:pPr>
      <w:r>
        <w:rPr>
          <w:rFonts w:hint="eastAsia"/>
        </w:rPr>
        <w:t>学校以“高、强、大”（职业素养高、专业技能强、发展潜力大）技能人才为培养目标，积极探索专业核心技能和职业核心能力并重的“双核协同”工学结合的人才培养模式，学校坚持引企入校，产教结合，努力打造一批品牌专业，打造省级实训中心。</w:t>
      </w:r>
      <w:r>
        <w:t>依托</w:t>
      </w:r>
      <w:r>
        <w:rPr>
          <w:rFonts w:hint="eastAsia"/>
        </w:rPr>
        <w:t>企</w:t>
      </w:r>
      <w:r>
        <w:t>业开展了订单班培养，并把行业、企业的标准融入到人才培养方案之中，企业骨干技术人员、能工巧匠全程参与到人才培养过程当中</w:t>
      </w:r>
      <w:r>
        <w:rPr>
          <w:rFonts w:hint="eastAsia"/>
        </w:rPr>
        <w:t>，</w:t>
      </w:r>
      <w:r>
        <w:t>进行</w:t>
      </w:r>
      <w:r>
        <w:rPr>
          <w:rFonts w:hint="eastAsia"/>
        </w:rPr>
        <w:t>“</w:t>
      </w:r>
      <w:r>
        <w:t>2+1模式</w:t>
      </w:r>
      <w:r>
        <w:rPr>
          <w:rFonts w:hint="eastAsia"/>
        </w:rPr>
        <w:t>”</w:t>
      </w:r>
      <w:r>
        <w:t>培养，设立了订单班，实行工学交替</w:t>
      </w:r>
      <w:r>
        <w:rPr>
          <w:rFonts w:hint="eastAsia"/>
        </w:rPr>
        <w:t>。学校通过引产入校，已经完成设备的安装和调试，解决学生实习、考证、技能竞赛、培训等多层次要求。同时，</w:t>
      </w:r>
      <w:r>
        <w:t>按照依托典型企业，深化工学结合人才培养模式改革，各专业形成了各具特色的人才培养模式。</w:t>
      </w:r>
      <w:r>
        <w:rPr>
          <w:rFonts w:hint="eastAsia"/>
        </w:rPr>
        <w:t>探索与行业、企</w:t>
      </w:r>
      <w:r>
        <w:t>业签订</w:t>
      </w:r>
      <w:r>
        <w:rPr>
          <w:rFonts w:hint="eastAsia"/>
        </w:rPr>
        <w:t>“</w:t>
      </w:r>
      <w:r>
        <w:t>现代学徒制</w:t>
      </w:r>
      <w:r>
        <w:rPr>
          <w:rFonts w:hint="eastAsia"/>
        </w:rPr>
        <w:t>”</w:t>
      </w:r>
      <w:r>
        <w:t>试点协议，通过</w:t>
      </w:r>
      <w:r>
        <w:rPr>
          <w:rFonts w:hint="eastAsia"/>
        </w:rPr>
        <w:t>校</w:t>
      </w:r>
      <w:r>
        <w:t>企深度合作与教师、师傅的联合传授，对学生进行技能培养</w:t>
      </w:r>
      <w:r>
        <w:rPr>
          <w:rFonts w:hint="eastAsia"/>
        </w:rPr>
        <w:t>。学校今年加大了校企合作力度，特别是深入开展引产入校。目前正式同学校开展引产入校的企业有2家。学校将探索开设高星级饭店运营与管理</w:t>
      </w:r>
      <w:r>
        <w:t>专业与</w:t>
      </w:r>
      <w:r>
        <w:rPr>
          <w:rFonts w:hint="eastAsia"/>
        </w:rPr>
        <w:t>揭阳迎宾馆</w:t>
      </w:r>
      <w:r>
        <w:t>合作，建立</w:t>
      </w:r>
      <w:r>
        <w:rPr>
          <w:rFonts w:hint="eastAsia"/>
        </w:rPr>
        <w:t>“</w:t>
      </w:r>
      <w:r>
        <w:t>五维课堂</w:t>
      </w:r>
      <w:r>
        <w:rPr>
          <w:rFonts w:hint="eastAsia"/>
        </w:rPr>
        <w:t>”</w:t>
      </w:r>
      <w:r>
        <w:t>素质培育模式，加强对学生顶岗实习针对性培养，培养酒店适用的高素质专业型人才。</w:t>
      </w:r>
    </w:p>
    <w:p>
      <w:pPr>
        <w:widowControl/>
        <w:spacing w:before="163"/>
        <w:ind w:firstLine="480"/>
        <w:jc w:val="center"/>
        <w:rPr>
          <w:rFonts w:ascii="仿宋_GB2312" w:hAnsi="Courier New" w:eastAsia="仿宋_GB2312"/>
        </w:rPr>
      </w:pPr>
      <w:r>
        <w:rPr>
          <w:rFonts w:ascii="仿宋_GB2312" w:hAnsi="Courier New" w:eastAsia="仿宋_GB2312"/>
        </w:rPr>
        <w:drawing>
          <wp:inline distT="0" distB="0" distL="114300" distR="114300">
            <wp:extent cx="5095875" cy="2609215"/>
            <wp:effectExtent l="0" t="0" r="9525" b="635"/>
            <wp:docPr id="12" name="图片 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18"/>
                    <pic:cNvPicPr>
                      <a:picLocks noChangeAspect="1"/>
                    </pic:cNvPicPr>
                  </pic:nvPicPr>
                  <pic:blipFill>
                    <a:blip r:embed="rId22"/>
                    <a:stretch>
                      <a:fillRect/>
                    </a:stretch>
                  </pic:blipFill>
                  <pic:spPr>
                    <a:xfrm>
                      <a:off x="0" y="0"/>
                      <a:ext cx="5095875" cy="2609215"/>
                    </a:xfrm>
                    <a:prstGeom prst="rect">
                      <a:avLst/>
                    </a:prstGeom>
                    <a:noFill/>
                    <a:ln>
                      <a:noFill/>
                    </a:ln>
                  </pic:spPr>
                </pic:pic>
              </a:graphicData>
            </a:graphic>
          </wp:inline>
        </w:drawing>
      </w:r>
    </w:p>
    <w:p>
      <w:pPr>
        <w:widowControl/>
        <w:spacing w:before="163"/>
        <w:ind w:firstLine="482"/>
        <w:jc w:val="center"/>
        <w:rPr>
          <w:rFonts w:ascii="仿宋_GB2312" w:hAnsi="Courier New" w:eastAsia="仿宋_GB2312"/>
        </w:rPr>
      </w:pPr>
      <w:r>
        <w:rPr>
          <w:rFonts w:hint="eastAsia" w:ascii="宋体" w:hAnsi="宋体" w:cs="宋体"/>
          <w:b/>
          <w:bCs/>
        </w:rPr>
        <w:t>图1.4</w:t>
      </w:r>
      <w:r>
        <w:rPr>
          <w:rFonts w:ascii="宋体" w:hAnsi="宋体" w:cs="宋体"/>
          <w:b/>
          <w:bCs/>
        </w:rPr>
        <w:t>-</w:t>
      </w:r>
      <w:r>
        <w:rPr>
          <w:rFonts w:hint="eastAsia" w:ascii="宋体" w:hAnsi="宋体" w:cs="宋体"/>
          <w:b/>
          <w:bCs/>
        </w:rPr>
        <w:t>1</w:t>
      </w:r>
      <w:r>
        <w:rPr>
          <w:rFonts w:hint="eastAsia" w:ascii="仿宋_GB2312" w:hAnsi="Courier New" w:eastAsia="仿宋_GB2312"/>
        </w:rPr>
        <w:t>实训中心-行知楼</w:t>
      </w:r>
    </w:p>
    <w:p>
      <w:pPr>
        <w:widowControl/>
        <w:spacing w:before="163"/>
        <w:ind w:firstLine="480"/>
        <w:jc w:val="center"/>
        <w:rPr>
          <w:rFonts w:ascii="仿宋_GB2312" w:hAnsi="Courier New" w:eastAsia="仿宋_GB2312"/>
        </w:rPr>
      </w:pPr>
      <w:r>
        <w:rPr>
          <w:rFonts w:ascii="仿宋_GB2312" w:hAnsi="Courier New" w:eastAsia="仿宋_GB2312"/>
        </w:rPr>
        <w:drawing>
          <wp:inline distT="0" distB="0" distL="114300" distR="114300">
            <wp:extent cx="5003800" cy="2655570"/>
            <wp:effectExtent l="0" t="0" r="6350" b="11430"/>
            <wp:docPr id="14"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15"/>
                    <pic:cNvPicPr>
                      <a:picLocks noChangeAspect="1"/>
                    </pic:cNvPicPr>
                  </pic:nvPicPr>
                  <pic:blipFill>
                    <a:blip r:embed="rId23"/>
                    <a:stretch>
                      <a:fillRect/>
                    </a:stretch>
                  </pic:blipFill>
                  <pic:spPr>
                    <a:xfrm>
                      <a:off x="0" y="0"/>
                      <a:ext cx="5003800" cy="2655570"/>
                    </a:xfrm>
                    <a:prstGeom prst="rect">
                      <a:avLst/>
                    </a:prstGeom>
                    <a:noFill/>
                    <a:ln>
                      <a:noFill/>
                    </a:ln>
                  </pic:spPr>
                </pic:pic>
              </a:graphicData>
            </a:graphic>
          </wp:inline>
        </w:drawing>
      </w:r>
    </w:p>
    <w:p>
      <w:pPr>
        <w:spacing w:before="163"/>
        <w:ind w:firstLine="482"/>
        <w:jc w:val="center"/>
        <w:rPr>
          <w:rFonts w:ascii="宋体" w:cs="宋体"/>
          <w:bCs/>
        </w:rPr>
      </w:pPr>
      <w:r>
        <w:rPr>
          <w:rFonts w:hint="eastAsia" w:ascii="宋体" w:hAnsi="宋体" w:cs="宋体"/>
          <w:b/>
          <w:bCs/>
        </w:rPr>
        <w:t>图1.4</w:t>
      </w:r>
      <w:r>
        <w:rPr>
          <w:rFonts w:ascii="宋体" w:hAnsi="宋体" w:cs="宋体"/>
          <w:b/>
          <w:bCs/>
        </w:rPr>
        <w:t>-</w:t>
      </w:r>
      <w:r>
        <w:rPr>
          <w:rFonts w:hint="eastAsia" w:ascii="宋体" w:hAnsi="宋体" w:cs="宋体"/>
          <w:b/>
          <w:bCs/>
        </w:rPr>
        <w:t>2</w:t>
      </w:r>
      <w:r>
        <w:rPr>
          <w:rFonts w:hint="eastAsia" w:ascii="仿宋_GB2312" w:hAnsi="Courier New" w:eastAsia="仿宋_GB2312"/>
        </w:rPr>
        <w:t>信息中心-博识楼</w:t>
      </w:r>
    </w:p>
    <w:p>
      <w:pPr>
        <w:spacing w:before="163"/>
        <w:ind w:firstLine="480"/>
        <w:jc w:val="center"/>
        <w:rPr>
          <w:rFonts w:ascii="宋体" w:cs="宋体"/>
          <w:bCs/>
        </w:rPr>
      </w:pPr>
      <w:r>
        <w:rPr>
          <w:rFonts w:hint="eastAsia" w:ascii="宋体" w:hAnsi="宋体" w:cs="宋体"/>
          <w:bCs/>
        </w:rPr>
        <w:drawing>
          <wp:inline distT="0" distB="0" distL="114300" distR="114300">
            <wp:extent cx="5271770" cy="2636520"/>
            <wp:effectExtent l="0" t="0" r="5080" b="11430"/>
            <wp:docPr id="15"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1"/>
                    <pic:cNvPicPr>
                      <a:picLocks noChangeAspect="1"/>
                    </pic:cNvPicPr>
                  </pic:nvPicPr>
                  <pic:blipFill>
                    <a:blip r:embed="rId24"/>
                    <a:stretch>
                      <a:fillRect/>
                    </a:stretch>
                  </pic:blipFill>
                  <pic:spPr>
                    <a:xfrm>
                      <a:off x="0" y="0"/>
                      <a:ext cx="5271770" cy="2636520"/>
                    </a:xfrm>
                    <a:prstGeom prst="rect">
                      <a:avLst/>
                    </a:prstGeom>
                    <a:noFill/>
                    <a:ln>
                      <a:noFill/>
                    </a:ln>
                  </pic:spPr>
                </pic:pic>
              </a:graphicData>
            </a:graphic>
          </wp:inline>
        </w:drawing>
      </w:r>
    </w:p>
    <w:p>
      <w:pPr>
        <w:spacing w:before="163"/>
        <w:ind w:firstLine="482"/>
        <w:jc w:val="center"/>
        <w:rPr>
          <w:rFonts w:ascii="宋体" w:hAnsi="宋体" w:cs="宋体"/>
          <w:b/>
          <w:bCs/>
        </w:rPr>
      </w:pPr>
      <w:r>
        <w:rPr>
          <w:rFonts w:hint="eastAsia" w:ascii="宋体" w:hAnsi="宋体" w:cs="宋体"/>
          <w:b/>
          <w:bCs/>
        </w:rPr>
        <w:t>图1.4</w:t>
      </w:r>
      <w:r>
        <w:rPr>
          <w:rFonts w:ascii="宋体" w:hAnsi="宋体" w:cs="宋体"/>
          <w:b/>
          <w:bCs/>
        </w:rPr>
        <w:t>-</w:t>
      </w:r>
      <w:r>
        <w:rPr>
          <w:rFonts w:hint="eastAsia" w:ascii="宋体" w:hAnsi="宋体" w:cs="宋体"/>
          <w:b/>
          <w:bCs/>
        </w:rPr>
        <w:t>3</w:t>
      </w:r>
      <w:r>
        <w:rPr>
          <w:rFonts w:ascii="宋体" w:hAnsi="宋体" w:cs="宋体"/>
          <w:b/>
          <w:bCs/>
        </w:rPr>
        <w:t xml:space="preserve"> </w:t>
      </w:r>
      <w:r>
        <w:rPr>
          <w:rFonts w:hint="eastAsia" w:ascii="宋体" w:hAnsi="宋体" w:cs="宋体"/>
          <w:b/>
          <w:bCs/>
        </w:rPr>
        <w:t>学校实训中心-行知楼省级专业实验实训基地分布一览表</w:t>
      </w:r>
    </w:p>
    <w:p>
      <w:pPr>
        <w:spacing w:before="163"/>
        <w:ind w:firstLine="482"/>
        <w:jc w:val="center"/>
        <w:rPr>
          <w:rFonts w:ascii="宋体" w:cs="宋体"/>
          <w:b/>
          <w:bCs/>
        </w:rPr>
      </w:pPr>
    </w:p>
    <w:p>
      <w:pPr>
        <w:spacing w:before="163"/>
        <w:ind w:firstLine="480"/>
      </w:pPr>
    </w:p>
    <w:p>
      <w:pPr>
        <w:pStyle w:val="10"/>
        <w:spacing w:before="163"/>
      </w:pPr>
      <w:bookmarkStart w:id="24" w:name="_Toc505003759"/>
      <w:bookmarkStart w:id="25" w:name="_Toc29995110"/>
      <w:bookmarkStart w:id="26" w:name="_Toc472000939"/>
      <w:r>
        <w:t>1</w:t>
      </w:r>
      <w:r>
        <w:rPr>
          <w:rFonts w:hint="eastAsia"/>
        </w:rPr>
        <w:t>.4.2.</w:t>
      </w:r>
      <w:r>
        <w:t>3</w:t>
      </w:r>
      <w:r>
        <w:rPr>
          <w:rFonts w:hint="eastAsia"/>
        </w:rPr>
        <w:t>校园文化呈现育人特色。弘扬发展优秀文化，打造特色校园形态。</w:t>
      </w:r>
      <w:bookmarkEnd w:id="24"/>
      <w:bookmarkEnd w:id="25"/>
      <w:bookmarkEnd w:id="26"/>
    </w:p>
    <w:p>
      <w:pPr>
        <w:ind w:firstLine="480"/>
      </w:pPr>
      <w:r>
        <w:rPr>
          <w:rFonts w:hint="eastAsia"/>
        </w:rPr>
        <w:t>文化传承创新是学校的重要职能。教育既坚持就业导向更注重育人为本，校园文化建设重视优秀传统文化和企业文化，更重视校园文化和文化精神对学生的熏陶和引领。</w:t>
      </w:r>
    </w:p>
    <w:p>
      <w:pPr>
        <w:ind w:firstLine="480"/>
      </w:pPr>
      <w:r>
        <w:rPr>
          <w:rFonts w:hint="eastAsia"/>
        </w:rPr>
        <w:t>学校围绕社会主义核心价值体系开展校园文化建设，注重把区域文化、产业文化、专业文化、职业文化融为一体，通过建设学校普识文化、弘扬优秀传统文化、推进先进文化传播，强化学生诚实守信、爱岗敬业、企业6S管理的职业素质教育，加强学生可持续发展能力和创新意识培养，促进人人成才，逐步形成具有职业教育特色的校园文化。</w:t>
      </w:r>
    </w:p>
    <w:p>
      <w:pPr>
        <w:ind w:firstLine="480"/>
      </w:pPr>
      <w:r>
        <w:rPr>
          <w:rFonts w:hint="eastAsia"/>
        </w:rPr>
        <w:t>学校提出“立德、立业、立人”育人思想，引领学生传承民族优良传统和发扬时代精神，借鉴行业企业文化，建设具有职业教育特点的校园文化。学校根据自身特色，注重将行业企业文化精髓作为学校文化建设的源泉，把行业企业文化精神融入人才培养全过程。人才培养与企业需求进一步缩小，学生职业道德和职业精神培养得到进一步强化。同时，主动承担社会责任，服务地方，发挥社区教育和文化传播平台功能。</w:t>
      </w:r>
      <w:r>
        <w:t xml:space="preserve">  </w:t>
      </w:r>
    </w:p>
    <w:p>
      <w:pPr>
        <w:ind w:firstLine="480"/>
        <w:rPr>
          <w:iCs/>
        </w:rPr>
      </w:pPr>
      <w:r>
        <w:rPr>
          <w:rFonts w:hint="eastAsia"/>
        </w:rPr>
        <w:t>借鉴行业企业文化，提升学生职业素质。学校通过举办烹饪爱心义卖、新生入学训练、社团展示、体育节、技能艺术节等活动，将文化精神教育引入到实践教育中去，</w:t>
      </w:r>
      <w:r>
        <w:rPr>
          <w:rFonts w:hint="eastAsia"/>
          <w:iCs/>
        </w:rPr>
        <w:t>开展与专业紧密结合的社会实践活动，以“日周月”学风检查为载体，结合专业的夜修活动为载体，促进学生良好行为习惯的养成。</w:t>
      </w:r>
    </w:p>
    <w:p>
      <w:pPr>
        <w:pStyle w:val="4"/>
        <w:spacing w:before="163"/>
      </w:pPr>
      <w:bookmarkStart w:id="27" w:name="_Toc29995111"/>
      <w:bookmarkStart w:id="28" w:name="_Toc505003760"/>
      <w:r>
        <w:rPr>
          <w:rFonts w:hint="eastAsia"/>
        </w:rPr>
        <w:t>1.4.3图书馆及藏书</w:t>
      </w:r>
      <w:bookmarkEnd w:id="27"/>
      <w:bookmarkEnd w:id="28"/>
    </w:p>
    <w:p>
      <w:pPr>
        <w:spacing w:before="163"/>
        <w:ind w:firstLine="480"/>
        <w:rPr>
          <w:iCs/>
        </w:rPr>
      </w:pPr>
      <w:r>
        <w:rPr>
          <w:rFonts w:hint="eastAsia"/>
          <w:iCs/>
        </w:rPr>
        <w:t>学校建有较为现代化的图书馆和阅览室，面积2000多平方米，建设有文、理科书库，教师和学生阅览室以及采编、借还、修复、办公等场室，其中教师阅览室有90个座位，学生阅览室有538个座位。图书馆纸质书藏书量71285本，比去年增加1632本，电子图书为10.86万册, 生均图书为43.7册，由于学生人数的增加，较去年生均图书49.1册减少了5.4册，期刊50多种，数字化教学资源丰富，满足现代职业教育教学需要。</w:t>
      </w:r>
    </w:p>
    <w:p>
      <w:pPr>
        <w:pStyle w:val="3"/>
        <w:spacing w:before="163"/>
      </w:pPr>
      <w:bookmarkStart w:id="29" w:name="_Toc29995112"/>
      <w:bookmarkStart w:id="30" w:name="_Toc505003761"/>
      <w:r>
        <w:rPr>
          <w:rFonts w:hint="eastAsia"/>
        </w:rPr>
        <w:t>2.学生发展</w:t>
      </w:r>
      <w:bookmarkEnd w:id="29"/>
      <w:bookmarkEnd w:id="30"/>
    </w:p>
    <w:p>
      <w:pPr>
        <w:pStyle w:val="3"/>
        <w:spacing w:before="163"/>
        <w:rPr>
          <w:kern w:val="0"/>
        </w:rPr>
      </w:pPr>
      <w:bookmarkStart w:id="31" w:name="_Toc505003762"/>
      <w:bookmarkStart w:id="32" w:name="_Toc29995113"/>
      <w:bookmarkStart w:id="33" w:name="_Toc505003763"/>
      <w:r>
        <w:rPr>
          <w:rFonts w:hint="eastAsia"/>
          <w:kern w:val="0"/>
        </w:rPr>
        <w:t>2.1学生素质</w:t>
      </w:r>
      <w:bookmarkEnd w:id="31"/>
      <w:bookmarkEnd w:id="32"/>
    </w:p>
    <w:p>
      <w:pPr>
        <w:ind w:firstLine="480"/>
      </w:pPr>
      <w:r>
        <w:rPr>
          <w:rFonts w:hint="eastAsia"/>
        </w:rPr>
        <w:t>学校坚持立德树人，秉承“责任高于一切，发展在于努力”的校训，强化学生教育管理，努力让学生健康快乐成长成才。深入开展人文教育，通过道德讲堂、文学社、早读、夜自修课、国学经典诵读、书法练习等形式，提升学生的人文素养和综合素质。突出主题班会，讲政治、讲学习、讲纪律，强化学生日常管理。开展新生入学教育和军训，实施半军事化管理，实行“校部”两级管理，学生科作为德育线条主管部门加强全校性监督管理，严格执行一日两检、零报告等制度。切实加强班主任、团委会、学生会和学生干部队伍建设，落实好全员参与、全体育人工作。突出巩固率考核，做好偏差学生教育转化工作，学生精神面貌明显改善。充分发挥共青团组织教育引领作用，以“推优”发展团员、评先树优为抓手，在学生中培养典型 。通过学生干部培训班等形式加强对青年学生的思想政治教育。</w:t>
      </w:r>
    </w:p>
    <w:p>
      <w:pPr>
        <w:ind w:firstLine="480"/>
      </w:pPr>
      <w:r>
        <w:rPr>
          <w:rFonts w:hint="eastAsia"/>
        </w:rPr>
        <w:t>严格按照上级要求开设公共文化课程，开足课时，深化教育教学改革，实施一体化教学，形成人文教育特色，教育教学质量显著提高。文化课合格率：2018年本年度达到了100%。学校实行双证书制度，专业技能合格率高，所有全日制在校生级学生专业技能考证已通过共1961人，平均合格率为49.8%，较去年的70.8%有明显下降，主要是由于当年度高一级新生增加，未到考证时期所致。毕业生双证书取证率100%。学校重视学生的综合素质培养，促进学生全面发展，健全人格。每年12月份举办体育节活动，学生全员参与，培养学生</w:t>
      </w:r>
      <w:r>
        <w:rPr>
          <w:rFonts w:hint="eastAsia" w:ascii="宋体" w:hAnsi="宋体"/>
        </w:rPr>
        <w:t>坚持锻炼的良好习惯和终身体育意识</w:t>
      </w:r>
      <w:r>
        <w:rPr>
          <w:rFonts w:hint="eastAsia"/>
        </w:rPr>
        <w:t>，增强学生的体质，2018—2019学年度体质测评合格率为100%。学校坚持狠抓教学质量，充分利用信息化平台和专业实训，有效开展理论教学与实践教学相结合、教学与教研相结合活动，使学生的学业水平稳步提升；学校坚持立德树人，学校于2019年8月完成了名班主任工作室课题，在整个课题开展期间，大大地提升了我校的班主任能力，尤其是德育管理水平。学校坚持以文化技能大赛为切入点，积极推动学生文化技能水平的提高，每年在第一学期9-12月份举行“文明风采”竞赛活动，在第二学期4-5月份举办学校技能艺术节活动，大大激发了学生学技能、练技能、比技能、展风采的热情，积极推动了学生文化技能水平的提高；学生在毕业时都能持双证100%毕业；每届学生毕业率达90%以上。</w:t>
      </w:r>
    </w:p>
    <w:p>
      <w:pPr>
        <w:pStyle w:val="3"/>
        <w:spacing w:before="163"/>
        <w:rPr>
          <w:sz w:val="24"/>
        </w:rPr>
      </w:pPr>
      <w:bookmarkStart w:id="34" w:name="_Toc29995114"/>
      <w:r>
        <w:rPr>
          <w:rFonts w:hint="eastAsia"/>
          <w:kern w:val="0"/>
        </w:rPr>
        <w:t>2.2在校体验</w:t>
      </w:r>
      <w:bookmarkEnd w:id="33"/>
      <w:bookmarkEnd w:id="34"/>
    </w:p>
    <w:p>
      <w:pPr>
        <w:pStyle w:val="4"/>
        <w:spacing w:before="163"/>
      </w:pPr>
      <w:bookmarkStart w:id="35" w:name="_Toc505003764"/>
      <w:bookmarkStart w:id="36" w:name="_Toc29995115"/>
      <w:r>
        <w:rPr>
          <w:rFonts w:hint="eastAsia"/>
        </w:rPr>
        <w:t>2.2.1满意度</w:t>
      </w:r>
      <w:bookmarkEnd w:id="35"/>
      <w:bookmarkEnd w:id="36"/>
    </w:p>
    <w:p>
      <w:pPr>
        <w:spacing w:before="163"/>
        <w:ind w:firstLine="480"/>
        <w:rPr>
          <w:rFonts w:ascii="宋体" w:hAnsi="宋体" w:cs="仿宋"/>
        </w:rPr>
      </w:pPr>
      <w:r>
        <w:rPr>
          <w:rFonts w:hint="eastAsia" w:ascii="宋体" w:hAnsi="宋体" w:cs="仿宋"/>
        </w:rPr>
        <w:t>1.本学年学生对学校人才培养工作给予了较高评价，对教师授课满意度，班主任工作满意度和生活教官满意度均较上学年有大幅增长。其中对生活教室很满意的选项占25.5%，满意的选项占51.17%，基本满意的选项占20.33%，一般的选项占3%。从问卷调查的结果看，生活教官对学校提供的工作、生活环境较满意。</w:t>
      </w:r>
    </w:p>
    <w:p>
      <w:pPr>
        <w:spacing w:before="163"/>
        <w:ind w:firstLine="0" w:firstLineChars="0"/>
        <w:rPr>
          <w:rFonts w:ascii="宋体" w:hAnsi="宋体"/>
        </w:rPr>
      </w:pPr>
      <w:r>
        <w:rPr>
          <w:rFonts w:hint="eastAsia" w:ascii="宋体" w:hAnsi="宋体"/>
        </w:rPr>
        <w:drawing>
          <wp:inline distT="0" distB="0" distL="114300" distR="114300">
            <wp:extent cx="5756910" cy="3082925"/>
            <wp:effectExtent l="0" t="0" r="15240" b="3175"/>
            <wp:docPr id="13" name="图片 10" descr="22587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22587828"/>
                    <pic:cNvPicPr>
                      <a:picLocks noChangeAspect="1"/>
                    </pic:cNvPicPr>
                  </pic:nvPicPr>
                  <pic:blipFill>
                    <a:blip r:embed="rId25"/>
                    <a:stretch>
                      <a:fillRect/>
                    </a:stretch>
                  </pic:blipFill>
                  <pic:spPr>
                    <a:xfrm>
                      <a:off x="0" y="0"/>
                      <a:ext cx="5756910" cy="3082925"/>
                    </a:xfrm>
                    <a:prstGeom prst="rect">
                      <a:avLst/>
                    </a:prstGeom>
                    <a:noFill/>
                    <a:ln>
                      <a:noFill/>
                    </a:ln>
                  </pic:spPr>
                </pic:pic>
              </a:graphicData>
            </a:graphic>
          </wp:inline>
        </w:drawing>
      </w:r>
    </w:p>
    <w:p>
      <w:pPr>
        <w:pStyle w:val="4"/>
        <w:spacing w:before="163"/>
      </w:pPr>
      <w:bookmarkStart w:id="37" w:name="_Toc29995116"/>
      <w:bookmarkStart w:id="38" w:name="_Toc505003765"/>
      <w:r>
        <w:rPr>
          <w:rFonts w:hint="eastAsia"/>
        </w:rPr>
        <w:t>2.2.2毕业生评价</w:t>
      </w:r>
      <w:bookmarkEnd w:id="37"/>
      <w:bookmarkEnd w:id="38"/>
    </w:p>
    <w:p>
      <w:pPr>
        <w:pStyle w:val="10"/>
        <w:spacing w:before="163"/>
      </w:pPr>
      <w:bookmarkStart w:id="39" w:name="_Toc505003766"/>
      <w:bookmarkStart w:id="40" w:name="_Toc472000946"/>
      <w:bookmarkStart w:id="41" w:name="_Toc29995117"/>
      <w:r>
        <w:rPr>
          <w:rFonts w:hint="eastAsia"/>
        </w:rPr>
        <w:t>2.2.2.1毕业生实习指导教师工作状况</w:t>
      </w:r>
      <w:bookmarkEnd w:id="39"/>
      <w:bookmarkEnd w:id="40"/>
      <w:bookmarkEnd w:id="41"/>
    </w:p>
    <w:p>
      <w:pPr>
        <w:spacing w:before="163"/>
        <w:ind w:firstLine="480"/>
        <w:rPr>
          <w:rFonts w:ascii="宋体" w:hAnsi="宋体"/>
        </w:rPr>
      </w:pPr>
      <w:r>
        <w:rPr>
          <w:rFonts w:hint="eastAsia" w:ascii="宋体" w:hAnsi="宋体" w:cs="仿宋"/>
        </w:rPr>
        <w:t>本学年共有75名教师担任2018届毕业生实习指导工作，共指导</w:t>
      </w:r>
      <w:r>
        <w:rPr>
          <w:rFonts w:hint="eastAsia" w:ascii="宋体" w:hAnsi="宋体" w:cs="仿宋"/>
          <w:lang w:val="en-US" w:eastAsia="zh-CN"/>
        </w:rPr>
        <w:t>704</w:t>
      </w:r>
      <w:r>
        <w:rPr>
          <w:rFonts w:hint="eastAsia" w:ascii="宋体" w:hAnsi="宋体" w:cs="仿宋"/>
        </w:rPr>
        <w:t>名学生，满意度均在92%以上。</w:t>
      </w:r>
    </w:p>
    <w:p>
      <w:pPr>
        <w:pStyle w:val="4"/>
        <w:spacing w:before="163"/>
      </w:pPr>
      <w:bookmarkStart w:id="42" w:name="_Toc505003767"/>
      <w:bookmarkStart w:id="43" w:name="_Toc29995118"/>
      <w:r>
        <w:rPr>
          <w:rFonts w:hint="eastAsia"/>
        </w:rPr>
        <w:t>2.2.3用人单位评价</w:t>
      </w:r>
      <w:bookmarkEnd w:id="42"/>
      <w:bookmarkEnd w:id="43"/>
    </w:p>
    <w:p>
      <w:pPr>
        <w:pStyle w:val="10"/>
        <w:spacing w:before="163"/>
      </w:pPr>
      <w:bookmarkStart w:id="44" w:name="_Toc505003768"/>
      <w:bookmarkStart w:id="45" w:name="_Toc472000948"/>
      <w:bookmarkStart w:id="46" w:name="_Toc29995119"/>
      <w:r>
        <w:rPr>
          <w:rFonts w:hint="eastAsia"/>
        </w:rPr>
        <w:t>2.2.3.1用人单位对毕业生满意度</w:t>
      </w:r>
      <w:bookmarkEnd w:id="44"/>
      <w:bookmarkEnd w:id="45"/>
      <w:bookmarkEnd w:id="46"/>
    </w:p>
    <w:p>
      <w:pPr>
        <w:spacing w:before="163"/>
        <w:ind w:firstLine="480"/>
      </w:pPr>
      <w:bookmarkStart w:id="47" w:name="_Toc472000949"/>
      <w:r>
        <w:rPr>
          <w:rFonts w:hint="eastAsia"/>
        </w:rPr>
        <w:t>根据</w:t>
      </w:r>
      <w:r>
        <w:rPr>
          <w:rFonts w:hint="eastAsia" w:ascii="宋体" w:hAnsi="宋体" w:cs="仿宋"/>
        </w:rPr>
        <w:t>2018届</w:t>
      </w:r>
      <w:r>
        <w:rPr>
          <w:rFonts w:hint="eastAsia"/>
        </w:rPr>
        <w:t>毕业生称职状况调查，用人单位对毕业生的评价较高，已连续三年毕业生称职率达95%以上。与</w:t>
      </w:r>
      <w:r>
        <w:rPr>
          <w:rFonts w:hint="eastAsia" w:ascii="宋体" w:hAnsi="宋体" w:cs="仿宋"/>
        </w:rPr>
        <w:t>2017届</w:t>
      </w:r>
      <w:r>
        <w:rPr>
          <w:rFonts w:hint="eastAsia"/>
        </w:rPr>
        <w:t>毕业生总体评价相较，</w:t>
      </w:r>
      <w:r>
        <w:rPr>
          <w:rFonts w:hint="eastAsia" w:ascii="宋体" w:hAnsi="宋体" w:cs="仿宋"/>
        </w:rPr>
        <w:t>2018届</w:t>
      </w:r>
      <w:r>
        <w:rPr>
          <w:rFonts w:hint="eastAsia"/>
        </w:rPr>
        <w:t>毕业生优良率进一步有所提升。</w:t>
      </w:r>
    </w:p>
    <w:p>
      <w:pPr>
        <w:pStyle w:val="10"/>
        <w:spacing w:before="163"/>
      </w:pPr>
      <w:bookmarkStart w:id="48" w:name="_Toc505003769"/>
      <w:bookmarkStart w:id="49" w:name="_Toc29995120"/>
      <w:r>
        <w:rPr>
          <w:rFonts w:hint="eastAsia"/>
        </w:rPr>
        <w:t>2.2.3.2用人单位对毕业生素质和能力结构评价</w:t>
      </w:r>
      <w:bookmarkEnd w:id="47"/>
      <w:bookmarkEnd w:id="48"/>
      <w:bookmarkEnd w:id="49"/>
    </w:p>
    <w:p>
      <w:pPr>
        <w:spacing w:before="163"/>
        <w:ind w:firstLine="480"/>
      </w:pPr>
      <w:r>
        <w:rPr>
          <w:rFonts w:hint="eastAsia"/>
        </w:rPr>
        <w:t>用人单位对学校</w:t>
      </w:r>
      <w:r>
        <w:rPr>
          <w:rFonts w:hint="eastAsia" w:ascii="宋体" w:hAnsi="宋体" w:cs="仿宋"/>
        </w:rPr>
        <w:t>2018届</w:t>
      </w:r>
      <w:r>
        <w:rPr>
          <w:rFonts w:hint="eastAsia"/>
        </w:rPr>
        <w:t>毕业生素质和能力结构的满意度调查数据显示，用人单位对毕业生最高的评价仍然是优秀，平均为</w:t>
      </w:r>
      <w:r>
        <w:rPr>
          <w:rFonts w:hint="eastAsia" w:ascii="宋体" w:hAnsi="宋体" w:cs="仿宋"/>
        </w:rPr>
        <w:t>97</w:t>
      </w:r>
      <w:r>
        <w:rPr>
          <w:rFonts w:hint="eastAsia"/>
        </w:rPr>
        <w:t>分；其次是良好，第三是称职。</w:t>
      </w:r>
    </w:p>
    <w:p>
      <w:pPr>
        <w:pStyle w:val="4"/>
        <w:spacing w:before="163"/>
      </w:pPr>
      <w:bookmarkStart w:id="50" w:name="_Toc505003770"/>
      <w:bookmarkStart w:id="51" w:name="_Toc29995121"/>
      <w:r>
        <w:rPr>
          <w:rFonts w:hint="eastAsia"/>
        </w:rPr>
        <w:t>2.2.4.校园文化建设</w:t>
      </w:r>
      <w:bookmarkEnd w:id="50"/>
      <w:bookmarkEnd w:id="51"/>
    </w:p>
    <w:p>
      <w:pPr>
        <w:spacing w:before="163"/>
        <w:ind w:firstLine="480"/>
      </w:pPr>
      <w:r>
        <w:rPr>
          <w:rFonts w:hint="eastAsia"/>
        </w:rPr>
        <w:t>学校不断加强校园文化建设，创设“时时受教育，处处受感染”的育人环境，使每一面墙壁都成为无声的语言。学校设有校园文化长廊、宣传栏、名人名言、年级墙报、班级黑板报、专业部公布栏等，对学生进行良好行为习惯的养成教育。通过文化展示栏、校友风采等，营造学校“尊严教育”的浓厚氛围。加强教室“十有十无”建设，有好人好事记载本，有学生自己创设的“图书角”、“学习园地”、“表扬与批评”等，创设温馨和谐、卫生整洁的学习环境。举行“文明风采”竞赛活动，设立有</w:t>
      </w:r>
      <w:r>
        <w:rPr>
          <w:rFonts w:hint="eastAsia" w:ascii="宋体" w:hAnsi="宋体" w:cs="楷体"/>
          <w:bCs/>
          <w:kern w:val="0"/>
        </w:rPr>
        <w:t>征文演讲、职业规划与创新设计、摄影与视频、才艺展示、</w:t>
      </w:r>
      <w:r>
        <w:rPr>
          <w:rFonts w:hint="eastAsia" w:ascii="宋体" w:hAnsi="宋体" w:cs="宋体"/>
          <w:kern w:val="0"/>
        </w:rPr>
        <w:t>中等职业学校学生公约宣传作品等项目；</w:t>
      </w:r>
      <w:r>
        <w:rPr>
          <w:rFonts w:hint="eastAsia"/>
        </w:rPr>
        <w:t>举办体育节，开展有田径、跳绳、踢毽子、蓝球、足球、乒乓球、拔河等比赛项目；十月举行“爱国、爱校”演讲比赛；12月举办大型迎新年文艺汇演；举办技能艺术节，开展专业技能竞赛、艺术展演、社团展演等。丰富学生的校园文化艺术生活，培养学生健康快乐、积极向上的精神风貌。</w:t>
      </w:r>
    </w:p>
    <w:p>
      <w:pPr>
        <w:pStyle w:val="4"/>
        <w:spacing w:before="163"/>
      </w:pPr>
      <w:bookmarkStart w:id="52" w:name="_Toc505003771"/>
      <w:bookmarkStart w:id="53" w:name="_Toc29995122"/>
      <w:r>
        <w:rPr>
          <w:rFonts w:hint="eastAsia"/>
        </w:rPr>
        <w:t>2.2.5文明风采活动</w:t>
      </w:r>
      <w:bookmarkEnd w:id="52"/>
      <w:bookmarkEnd w:id="53"/>
    </w:p>
    <w:p>
      <w:pPr>
        <w:widowControl/>
        <w:spacing w:before="163"/>
        <w:ind w:firstLine="480"/>
        <w:jc w:val="left"/>
        <w:rPr>
          <w:rFonts w:hint="eastAsia"/>
        </w:rPr>
      </w:pPr>
      <w:r>
        <w:rPr>
          <w:rFonts w:hint="eastAsia"/>
          <w:i/>
        </w:rPr>
        <w:t>学</w:t>
      </w:r>
      <w:bookmarkStart w:id="54" w:name="_Toc505003772"/>
      <w:r>
        <w:rPr>
          <w:rFonts w:hint="eastAsia"/>
        </w:rPr>
        <w:t>学校高度重视文明风采活动，积极组织参加文明风采大赛，全校文明风采初赛参赛率达100%，复赛参赛率达到35%。在2019年全国中等职业学校文明风采竞赛活动中，获奖作品达二十六个，其中一等奖2个，二等奖4个，三等奖20个，学校也获得了“优秀组织奖”的称号。</w:t>
      </w:r>
    </w:p>
    <w:p>
      <w:pPr>
        <w:ind w:firstLine="480"/>
      </w:pPr>
      <w:r>
        <w:rPr>
          <w:rFonts w:hint="eastAsia"/>
        </w:rPr>
        <w:t>2.2.6社团活动</w:t>
      </w:r>
      <w:bookmarkEnd w:id="54"/>
    </w:p>
    <w:p>
      <w:pPr>
        <w:ind w:firstLine="480"/>
        <w:rPr>
          <w:rFonts w:ascii="宋体" w:hAnsi="宋体"/>
          <w:sz w:val="28"/>
          <w:szCs w:val="28"/>
        </w:rPr>
      </w:pPr>
      <w:r>
        <w:rPr>
          <w:rFonts w:hint="eastAsia"/>
        </w:rPr>
        <w:t>学校设立了33个学生社团，主要涉及宣传服务、专业术科、文学艺术、体育武术和兴趣爱好类。其中宣传服务类4个，专业术科类9个，文学艺术类11个，体育武术类7个，兴趣爱好类3个。参加社团活动的学生有1000多人，每个社团均聘任专业教师进行辅导。每天下午有固定的时间开展社团活动，做到有计划、有场地、有考核、有成果。校园文化建设和社团活动的开展极大的促进了学生综合能力的提高。学生参加市级以上技能大赛、文艺体育等比赛成绩在全市同类学校处于领先。</w:t>
      </w:r>
    </w:p>
    <w:p>
      <w:pPr>
        <w:ind w:firstLine="480"/>
      </w:pPr>
      <w:r>
        <w:rPr>
          <w:rFonts w:hint="eastAsia"/>
        </w:rPr>
        <w:t>学校团委近几年不断细化和完善学校社团管理制度，引导社团向积极的方向发展，有效提高社团的管理能力、活动能力和社团品味，扶持一些有代表性的社团，如建设法律社团，也揭阳市检察院进行检校合作，不仅在全校推广普法教育讲座、观看揭阳市法院开庭审判等，而且在法律社团的组织下开展普法知识沙龙游园活动、在学校设立模拟法庭等普法活动增进学生的法律意识，另外也注重建设具有地方文化特色社团，如潮剧社、龙狮社等，通过社团进一步促进地方文化特色的保护和发展，在促进社团的发展的同时，注重社团管理和思想上的引导，建立社团五星级评比制度，每学期对各社团进行多方面的评比，评出先进社团，树立典范，力求社团依然在校园文化建设中发挥重要载体的作用。以下为近两年来获得的部分荣誉：</w:t>
      </w:r>
    </w:p>
    <w:p>
      <w:pPr>
        <w:ind w:firstLine="480"/>
      </w:pPr>
      <w:r>
        <w:rPr>
          <w:rFonts w:hint="eastAsia"/>
        </w:rPr>
        <w:t>集体类</w:t>
      </w:r>
    </w:p>
    <w:p>
      <w:pPr>
        <w:ind w:firstLine="480"/>
      </w:pPr>
      <w:r>
        <w:rPr>
          <w:rFonts w:hint="eastAsia"/>
        </w:rPr>
        <w:t>1．2018-2019年度揭阳市优秀学生会——揭阳捷和职业技术学校学生会；</w:t>
      </w:r>
    </w:p>
    <w:p>
      <w:pPr>
        <w:ind w:firstLine="480"/>
      </w:pPr>
      <w:r>
        <w:rPr>
          <w:rFonts w:hint="eastAsia"/>
        </w:rPr>
        <w:t>2．2018-2019年度揭阳市优秀学生社团-青年志愿者服务队——揭阳捷和职业技术学校青年志愿者服务队；</w:t>
      </w:r>
    </w:p>
    <w:p>
      <w:pPr>
        <w:ind w:firstLine="480"/>
      </w:pPr>
      <w:r>
        <w:rPr>
          <w:rFonts w:hint="eastAsia"/>
        </w:rPr>
        <w:t>3.2017-2018年度“揭阳市优秀学生社团”称号——揭阳捷和职业技术学校青年志愿者服务队；</w:t>
      </w:r>
    </w:p>
    <w:p>
      <w:pPr>
        <w:ind w:firstLine="480"/>
      </w:pPr>
      <w:r>
        <w:rPr>
          <w:rFonts w:hint="eastAsia"/>
        </w:rPr>
        <w:t>4.2017-2018年度“揭阳是五四红旗团（总）支部”称号——学前教育大专3班团支部；</w:t>
      </w:r>
    </w:p>
    <w:p>
      <w:pPr>
        <w:ind w:firstLine="480"/>
      </w:pPr>
      <w:r>
        <w:rPr>
          <w:rFonts w:hint="eastAsia"/>
        </w:rPr>
        <w:t>5.2017-2018年度“揭阳市优秀学生社团”称号——揭阳捷和职业技术学校青年志愿者服务队；</w:t>
      </w:r>
    </w:p>
    <w:p>
      <w:pPr>
        <w:ind w:firstLine="480"/>
      </w:pPr>
      <w:r>
        <w:rPr>
          <w:rFonts w:hint="eastAsia"/>
        </w:rPr>
        <w:t>个人类：</w:t>
      </w:r>
    </w:p>
    <w:p>
      <w:pPr>
        <w:ind w:firstLine="480"/>
      </w:pPr>
      <w:r>
        <w:rPr>
          <w:rFonts w:hint="eastAsia"/>
        </w:rPr>
        <w:t>1.2018-2019年度揭阳市优秀学生会干部-黄佳玉；</w:t>
      </w:r>
    </w:p>
    <w:p>
      <w:pPr>
        <w:spacing w:before="163" w:line="400" w:lineRule="atLeast"/>
        <w:ind w:firstLine="480"/>
      </w:pPr>
      <w:r>
        <w:rPr>
          <w:rFonts w:hint="eastAsia"/>
        </w:rPr>
        <w:t>2.2017-2018年度广东省优秀共青团员--方晓珊</w:t>
      </w:r>
    </w:p>
    <w:p>
      <w:pPr>
        <w:spacing w:before="163" w:line="400" w:lineRule="atLeast"/>
        <w:ind w:firstLine="480"/>
      </w:pPr>
      <w:r>
        <w:rPr>
          <w:rFonts w:hint="eastAsia"/>
        </w:rPr>
        <w:t>3.2017-2018年度广东省优秀共青团员--林晓纯</w:t>
      </w:r>
    </w:p>
    <w:p>
      <w:pPr>
        <w:spacing w:before="163" w:line="400" w:lineRule="atLeast"/>
        <w:ind w:firstLine="480"/>
      </w:pPr>
      <w:r>
        <w:rPr>
          <w:rFonts w:hint="eastAsia"/>
        </w:rPr>
        <w:t>4.2017-2018年度广东省优秀学生--孙垒彬等20多人次的先进教师、学生。</w:t>
      </w:r>
    </w:p>
    <w:p>
      <w:pPr>
        <w:spacing w:before="163" w:line="400" w:lineRule="atLeast"/>
        <w:ind w:firstLine="480"/>
        <w:rPr>
          <w:color w:val="FF0000"/>
        </w:rPr>
      </w:pPr>
    </w:p>
    <w:p>
      <w:pPr>
        <w:spacing w:before="163"/>
        <w:ind w:firstLine="480"/>
        <w:rPr>
          <w:color w:val="FF0000"/>
        </w:rPr>
      </w:pPr>
    </w:p>
    <w:p>
      <w:pPr>
        <w:ind w:firstLine="480"/>
        <w:rPr>
          <w:color w:val="FF0000"/>
        </w:rPr>
        <w:sectPr>
          <w:headerReference r:id="rId5" w:type="first"/>
          <w:footerReference r:id="rId8" w:type="first"/>
          <w:headerReference r:id="rId3" w:type="default"/>
          <w:footerReference r:id="rId6" w:type="default"/>
          <w:headerReference r:id="rId4" w:type="even"/>
          <w:footerReference r:id="rId7" w:type="even"/>
          <w:pgSz w:w="11906" w:h="16838"/>
          <w:pgMar w:top="1418" w:right="1418" w:bottom="1418" w:left="1418" w:header="851" w:footer="992" w:gutter="0"/>
          <w:cols w:space="720" w:num="1"/>
          <w:docGrid w:type="lines" w:linePitch="312" w:charSpace="0"/>
        </w:sectPr>
      </w:pPr>
      <w:r>
        <w:rPr>
          <w:rFonts w:hint="eastAsia"/>
          <w:color w:val="FF0000"/>
        </w:rPr>
        <w:t xml:space="preserve">   </w:t>
      </w:r>
    </w:p>
    <w:p>
      <w:pPr>
        <w:ind w:firstLine="562"/>
        <w:jc w:val="center"/>
        <w:rPr>
          <w:b/>
          <w:sz w:val="28"/>
          <w:szCs w:val="28"/>
        </w:rPr>
      </w:pPr>
      <w:r>
        <w:rPr>
          <w:rFonts w:hint="eastAsia"/>
          <w:b/>
          <w:sz w:val="28"/>
          <w:szCs w:val="28"/>
        </w:rPr>
        <w:t>学校社团一览表</w:t>
      </w:r>
    </w:p>
    <w:tbl>
      <w:tblPr>
        <w:tblStyle w:val="14"/>
        <w:tblpPr w:leftFromText="180" w:rightFromText="180" w:vertAnchor="page" w:horzAnchor="margin" w:tblpXSpec="center" w:tblpY="2086"/>
        <w:tblW w:w="0" w:type="auto"/>
        <w:tblInd w:w="0" w:type="dxa"/>
        <w:tblLayout w:type="fixed"/>
        <w:tblCellMar>
          <w:top w:w="0" w:type="dxa"/>
          <w:left w:w="108" w:type="dxa"/>
          <w:bottom w:w="0" w:type="dxa"/>
          <w:right w:w="108" w:type="dxa"/>
        </w:tblCellMar>
      </w:tblPr>
      <w:tblGrid>
        <w:gridCol w:w="440"/>
        <w:gridCol w:w="684"/>
        <w:gridCol w:w="1814"/>
        <w:gridCol w:w="1418"/>
        <w:gridCol w:w="992"/>
        <w:gridCol w:w="992"/>
        <w:gridCol w:w="1276"/>
        <w:gridCol w:w="851"/>
        <w:gridCol w:w="1559"/>
        <w:gridCol w:w="1989"/>
        <w:gridCol w:w="1658"/>
      </w:tblGrid>
      <w:tr>
        <w:tblPrEx>
          <w:tblCellMar>
            <w:top w:w="0" w:type="dxa"/>
            <w:left w:w="108" w:type="dxa"/>
            <w:bottom w:w="0" w:type="dxa"/>
            <w:right w:w="108" w:type="dxa"/>
          </w:tblCellMar>
        </w:tblPrEx>
        <w:trPr>
          <w:trHeight w:val="600" w:hRule="atLeast"/>
        </w:trPr>
        <w:tc>
          <w:tcPr>
            <w:tcW w:w="44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序号</w:t>
            </w:r>
          </w:p>
        </w:tc>
        <w:tc>
          <w:tcPr>
            <w:tcW w:w="684" w:type="dxa"/>
            <w:tcBorders>
              <w:top w:val="single" w:color="auto" w:sz="4" w:space="0"/>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类型</w:t>
            </w:r>
          </w:p>
        </w:tc>
        <w:tc>
          <w:tcPr>
            <w:tcW w:w="1814" w:type="dxa"/>
            <w:tcBorders>
              <w:top w:val="single" w:color="auto" w:sz="4" w:space="0"/>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社团名称</w:t>
            </w:r>
          </w:p>
        </w:tc>
        <w:tc>
          <w:tcPr>
            <w:tcW w:w="1418" w:type="dxa"/>
            <w:tcBorders>
              <w:top w:val="single" w:color="auto" w:sz="4" w:space="0"/>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社团成员联系号码及人数</w:t>
            </w:r>
          </w:p>
        </w:tc>
        <w:tc>
          <w:tcPr>
            <w:tcW w:w="992" w:type="dxa"/>
            <w:tcBorders>
              <w:top w:val="single" w:color="auto" w:sz="4" w:space="0"/>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成立时间</w:t>
            </w:r>
          </w:p>
        </w:tc>
        <w:tc>
          <w:tcPr>
            <w:tcW w:w="992" w:type="dxa"/>
            <w:tcBorders>
              <w:top w:val="single" w:color="auto" w:sz="4" w:space="0"/>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指导老师</w:t>
            </w:r>
          </w:p>
        </w:tc>
        <w:tc>
          <w:tcPr>
            <w:tcW w:w="1276" w:type="dxa"/>
            <w:tcBorders>
              <w:top w:val="single" w:color="auto" w:sz="4" w:space="0"/>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联系电话</w:t>
            </w:r>
          </w:p>
        </w:tc>
        <w:tc>
          <w:tcPr>
            <w:tcW w:w="851" w:type="dxa"/>
            <w:tcBorders>
              <w:top w:val="single" w:color="auto" w:sz="4" w:space="0"/>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现任  负责人</w:t>
            </w:r>
          </w:p>
        </w:tc>
        <w:tc>
          <w:tcPr>
            <w:tcW w:w="1559" w:type="dxa"/>
            <w:tcBorders>
              <w:top w:val="single" w:color="auto" w:sz="4" w:space="0"/>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联系电话</w:t>
            </w:r>
          </w:p>
        </w:tc>
        <w:tc>
          <w:tcPr>
            <w:tcW w:w="1989" w:type="dxa"/>
            <w:tcBorders>
              <w:top w:val="single" w:color="auto" w:sz="4" w:space="0"/>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活动场地   (待定)</w:t>
            </w:r>
          </w:p>
        </w:tc>
        <w:tc>
          <w:tcPr>
            <w:tcW w:w="1658" w:type="dxa"/>
            <w:tcBorders>
              <w:top w:val="single" w:color="auto" w:sz="4" w:space="0"/>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备注</w:t>
            </w:r>
          </w:p>
        </w:tc>
      </w:tr>
      <w:tr>
        <w:tblPrEx>
          <w:tblCellMar>
            <w:top w:w="0" w:type="dxa"/>
            <w:left w:w="108" w:type="dxa"/>
            <w:bottom w:w="0" w:type="dxa"/>
            <w:right w:w="108" w:type="dxa"/>
          </w:tblCellMar>
        </w:tblPrEx>
        <w:trPr>
          <w:trHeight w:val="375"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1</w:t>
            </w:r>
          </w:p>
        </w:tc>
        <w:tc>
          <w:tcPr>
            <w:tcW w:w="684" w:type="dxa"/>
            <w:vMerge w:val="restart"/>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宣传   服务类</w:t>
            </w:r>
          </w:p>
        </w:tc>
        <w:tc>
          <w:tcPr>
            <w:tcW w:w="181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青年志愿者服务队</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85人</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1991年</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何郁群</w:t>
            </w:r>
          </w:p>
        </w:tc>
        <w:tc>
          <w:tcPr>
            <w:tcW w:w="1276"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13822033378</w:t>
            </w:r>
          </w:p>
        </w:tc>
        <w:tc>
          <w:tcPr>
            <w:tcW w:w="851"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陈佳婷</w:t>
            </w:r>
          </w:p>
        </w:tc>
        <w:tc>
          <w:tcPr>
            <w:tcW w:w="1559"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18318148413</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p>
        </w:tc>
        <w:tc>
          <w:tcPr>
            <w:tcW w:w="1658" w:type="dxa"/>
            <w:tcBorders>
              <w:top w:val="nil"/>
              <w:left w:val="nil"/>
              <w:bottom w:val="single" w:color="auto" w:sz="4" w:space="0"/>
              <w:right w:val="single" w:color="auto" w:sz="4" w:space="0"/>
            </w:tcBorders>
            <w:vAlign w:val="bottom"/>
          </w:tcPr>
          <w:p>
            <w:pPr>
              <w:ind w:firstLine="0" w:firstLineChars="0"/>
              <w:jc w:val="center"/>
              <w:rPr>
                <w:sz w:val="18"/>
                <w:szCs w:val="18"/>
              </w:rPr>
            </w:pPr>
          </w:p>
        </w:tc>
      </w:tr>
      <w:tr>
        <w:tblPrEx>
          <w:tblCellMar>
            <w:top w:w="0" w:type="dxa"/>
            <w:left w:w="108" w:type="dxa"/>
            <w:bottom w:w="0" w:type="dxa"/>
            <w:right w:w="108" w:type="dxa"/>
          </w:tblCellMar>
        </w:tblPrEx>
        <w:trPr>
          <w:trHeight w:val="375"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2</w:t>
            </w:r>
          </w:p>
        </w:tc>
        <w:tc>
          <w:tcPr>
            <w:tcW w:w="684" w:type="dxa"/>
            <w:vMerge w:val="continue"/>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p>
        </w:tc>
        <w:tc>
          <w:tcPr>
            <w:tcW w:w="181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言韵广播站</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40</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2001年</w:t>
            </w:r>
          </w:p>
        </w:tc>
        <w:tc>
          <w:tcPr>
            <w:tcW w:w="992" w:type="dxa"/>
            <w:tcBorders>
              <w:top w:val="nil"/>
              <w:left w:val="nil"/>
              <w:bottom w:val="nil"/>
              <w:right w:val="nil"/>
            </w:tcBorders>
            <w:vAlign w:val="center"/>
          </w:tcPr>
          <w:p>
            <w:pPr>
              <w:ind w:firstLine="0" w:firstLineChars="0"/>
              <w:jc w:val="center"/>
              <w:rPr>
                <w:sz w:val="18"/>
                <w:szCs w:val="18"/>
              </w:rPr>
            </w:pPr>
            <w:r>
              <w:rPr>
                <w:rFonts w:hint="eastAsia"/>
                <w:sz w:val="18"/>
                <w:szCs w:val="18"/>
              </w:rPr>
              <w:t>黄海清</w:t>
            </w:r>
          </w:p>
        </w:tc>
        <w:tc>
          <w:tcPr>
            <w:tcW w:w="1276" w:type="dxa"/>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15766996890</w:t>
            </w:r>
          </w:p>
        </w:tc>
        <w:tc>
          <w:tcPr>
            <w:tcW w:w="851"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何泳琪</w:t>
            </w:r>
          </w:p>
        </w:tc>
        <w:tc>
          <w:tcPr>
            <w:tcW w:w="1559"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13184809457</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阳明楼一楼104</w:t>
            </w:r>
          </w:p>
        </w:tc>
        <w:tc>
          <w:tcPr>
            <w:tcW w:w="1658" w:type="dxa"/>
            <w:tcBorders>
              <w:top w:val="nil"/>
              <w:left w:val="nil"/>
              <w:bottom w:val="single" w:color="auto" w:sz="4" w:space="0"/>
              <w:right w:val="single" w:color="auto" w:sz="4" w:space="0"/>
            </w:tcBorders>
            <w:vAlign w:val="center"/>
          </w:tcPr>
          <w:p>
            <w:pPr>
              <w:ind w:firstLine="0" w:firstLineChars="0"/>
              <w:jc w:val="center"/>
              <w:rPr>
                <w:sz w:val="18"/>
                <w:szCs w:val="18"/>
              </w:rPr>
            </w:pPr>
          </w:p>
        </w:tc>
      </w:tr>
      <w:tr>
        <w:tblPrEx>
          <w:tblCellMar>
            <w:top w:w="0" w:type="dxa"/>
            <w:left w:w="108" w:type="dxa"/>
            <w:bottom w:w="0" w:type="dxa"/>
            <w:right w:w="108" w:type="dxa"/>
          </w:tblCellMar>
        </w:tblPrEx>
        <w:trPr>
          <w:trHeight w:val="375"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3</w:t>
            </w:r>
          </w:p>
        </w:tc>
        <w:tc>
          <w:tcPr>
            <w:tcW w:w="684" w:type="dxa"/>
            <w:vMerge w:val="continue"/>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p>
        </w:tc>
        <w:tc>
          <w:tcPr>
            <w:tcW w:w="181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尚美礼仪社</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2012年</w:t>
            </w:r>
          </w:p>
        </w:tc>
        <w:tc>
          <w:tcPr>
            <w:tcW w:w="992" w:type="dxa"/>
            <w:tcBorders>
              <w:top w:val="single" w:color="auto" w:sz="4" w:space="0"/>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林茹曼</w:t>
            </w:r>
          </w:p>
        </w:tc>
        <w:tc>
          <w:tcPr>
            <w:tcW w:w="1276"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18318140962</w:t>
            </w:r>
          </w:p>
        </w:tc>
        <w:tc>
          <w:tcPr>
            <w:tcW w:w="851"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黄燕曼</w:t>
            </w:r>
          </w:p>
        </w:tc>
        <w:tc>
          <w:tcPr>
            <w:tcW w:w="1559"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13413991474</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行知楼 5楼510</w:t>
            </w:r>
          </w:p>
        </w:tc>
        <w:tc>
          <w:tcPr>
            <w:tcW w:w="1658" w:type="dxa"/>
            <w:tcBorders>
              <w:top w:val="nil"/>
              <w:left w:val="nil"/>
              <w:bottom w:val="single" w:color="auto" w:sz="4" w:space="0"/>
              <w:right w:val="single" w:color="auto" w:sz="4" w:space="0"/>
            </w:tcBorders>
            <w:vAlign w:val="bottom"/>
          </w:tcPr>
          <w:p>
            <w:pPr>
              <w:ind w:firstLine="0" w:firstLineChars="0"/>
              <w:jc w:val="center"/>
              <w:rPr>
                <w:sz w:val="18"/>
                <w:szCs w:val="18"/>
              </w:rPr>
            </w:pPr>
          </w:p>
        </w:tc>
      </w:tr>
      <w:tr>
        <w:tblPrEx>
          <w:tblCellMar>
            <w:top w:w="0" w:type="dxa"/>
            <w:left w:w="108" w:type="dxa"/>
            <w:bottom w:w="0" w:type="dxa"/>
            <w:right w:w="108" w:type="dxa"/>
          </w:tblCellMar>
        </w:tblPrEx>
        <w:trPr>
          <w:trHeight w:val="375"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4</w:t>
            </w:r>
          </w:p>
        </w:tc>
        <w:tc>
          <w:tcPr>
            <w:tcW w:w="684" w:type="dxa"/>
            <w:vMerge w:val="continue"/>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p>
        </w:tc>
        <w:tc>
          <w:tcPr>
            <w:tcW w:w="181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摄影社</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2011年</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吴莹</w:t>
            </w:r>
          </w:p>
        </w:tc>
        <w:tc>
          <w:tcPr>
            <w:tcW w:w="1276"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13580282299</w:t>
            </w:r>
          </w:p>
        </w:tc>
        <w:tc>
          <w:tcPr>
            <w:tcW w:w="851"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谢思帆</w:t>
            </w:r>
          </w:p>
        </w:tc>
        <w:tc>
          <w:tcPr>
            <w:tcW w:w="1559"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15915617543</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无</w:t>
            </w:r>
          </w:p>
        </w:tc>
        <w:tc>
          <w:tcPr>
            <w:tcW w:w="1658" w:type="dxa"/>
            <w:tcBorders>
              <w:top w:val="nil"/>
              <w:left w:val="nil"/>
              <w:bottom w:val="single" w:color="auto" w:sz="4" w:space="0"/>
              <w:right w:val="single" w:color="auto" w:sz="4" w:space="0"/>
            </w:tcBorders>
            <w:vAlign w:val="bottom"/>
          </w:tcPr>
          <w:p>
            <w:pPr>
              <w:ind w:firstLine="0" w:firstLineChars="0"/>
              <w:jc w:val="center"/>
              <w:rPr>
                <w:sz w:val="18"/>
                <w:szCs w:val="18"/>
              </w:rPr>
            </w:pPr>
          </w:p>
        </w:tc>
      </w:tr>
      <w:tr>
        <w:tblPrEx>
          <w:tblCellMar>
            <w:top w:w="0" w:type="dxa"/>
            <w:left w:w="108" w:type="dxa"/>
            <w:bottom w:w="0" w:type="dxa"/>
            <w:right w:w="108" w:type="dxa"/>
          </w:tblCellMar>
        </w:tblPrEx>
        <w:trPr>
          <w:trHeight w:val="375"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5</w:t>
            </w:r>
          </w:p>
        </w:tc>
        <w:tc>
          <w:tcPr>
            <w:tcW w:w="684" w:type="dxa"/>
            <w:vMerge w:val="restart"/>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r>
              <w:rPr>
                <w:rFonts w:hint="eastAsia"/>
                <w:sz w:val="18"/>
                <w:szCs w:val="18"/>
              </w:rPr>
              <w:t>专业   术科类</w:t>
            </w:r>
          </w:p>
        </w:tc>
        <w:tc>
          <w:tcPr>
            <w:tcW w:w="181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JNY动漫社</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50</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2012年</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林旭娜</w:t>
            </w:r>
          </w:p>
        </w:tc>
        <w:tc>
          <w:tcPr>
            <w:tcW w:w="1276"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15819654510</w:t>
            </w:r>
          </w:p>
        </w:tc>
        <w:tc>
          <w:tcPr>
            <w:tcW w:w="851"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缪子怡</w:t>
            </w:r>
          </w:p>
        </w:tc>
        <w:tc>
          <w:tcPr>
            <w:tcW w:w="1559"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18718948628</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机电401</w:t>
            </w:r>
          </w:p>
        </w:tc>
        <w:tc>
          <w:tcPr>
            <w:tcW w:w="1658" w:type="dxa"/>
            <w:tcBorders>
              <w:top w:val="nil"/>
              <w:left w:val="nil"/>
              <w:bottom w:val="single" w:color="auto" w:sz="4" w:space="0"/>
              <w:right w:val="single" w:color="auto" w:sz="4" w:space="0"/>
            </w:tcBorders>
            <w:vAlign w:val="bottom"/>
          </w:tcPr>
          <w:p>
            <w:pPr>
              <w:ind w:firstLine="0" w:firstLineChars="0"/>
              <w:jc w:val="center"/>
              <w:rPr>
                <w:sz w:val="18"/>
                <w:szCs w:val="18"/>
              </w:rPr>
            </w:pPr>
          </w:p>
        </w:tc>
      </w:tr>
      <w:tr>
        <w:tblPrEx>
          <w:tblCellMar>
            <w:top w:w="0" w:type="dxa"/>
            <w:left w:w="108" w:type="dxa"/>
            <w:bottom w:w="0" w:type="dxa"/>
            <w:right w:w="108" w:type="dxa"/>
          </w:tblCellMar>
        </w:tblPrEx>
        <w:trPr>
          <w:trHeight w:val="375"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6</w:t>
            </w:r>
          </w:p>
        </w:tc>
        <w:tc>
          <w:tcPr>
            <w:tcW w:w="684" w:type="dxa"/>
            <w:vMerge w:val="continue"/>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p>
        </w:tc>
        <w:tc>
          <w:tcPr>
            <w:tcW w:w="181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会计社</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27</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2012年</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方清榕</w:t>
            </w:r>
          </w:p>
        </w:tc>
        <w:tc>
          <w:tcPr>
            <w:tcW w:w="1276"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13640383609</w:t>
            </w:r>
          </w:p>
        </w:tc>
        <w:tc>
          <w:tcPr>
            <w:tcW w:w="851"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陈泽凤</w:t>
            </w:r>
          </w:p>
        </w:tc>
        <w:tc>
          <w:tcPr>
            <w:tcW w:w="1559"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17342838978</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财贸部305</w:t>
            </w:r>
          </w:p>
        </w:tc>
        <w:tc>
          <w:tcPr>
            <w:tcW w:w="1658" w:type="dxa"/>
            <w:tcBorders>
              <w:top w:val="nil"/>
              <w:left w:val="nil"/>
              <w:bottom w:val="single" w:color="auto" w:sz="4" w:space="0"/>
              <w:right w:val="single" w:color="auto" w:sz="4" w:space="0"/>
            </w:tcBorders>
            <w:vAlign w:val="bottom"/>
          </w:tcPr>
          <w:p>
            <w:pPr>
              <w:ind w:firstLine="0" w:firstLineChars="0"/>
              <w:jc w:val="center"/>
              <w:rPr>
                <w:sz w:val="18"/>
                <w:szCs w:val="18"/>
              </w:rPr>
            </w:pPr>
          </w:p>
        </w:tc>
      </w:tr>
      <w:tr>
        <w:tblPrEx>
          <w:tblCellMar>
            <w:top w:w="0" w:type="dxa"/>
            <w:left w:w="108" w:type="dxa"/>
            <w:bottom w:w="0" w:type="dxa"/>
            <w:right w:w="108" w:type="dxa"/>
          </w:tblCellMar>
        </w:tblPrEx>
        <w:trPr>
          <w:trHeight w:val="375"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7</w:t>
            </w:r>
          </w:p>
        </w:tc>
        <w:tc>
          <w:tcPr>
            <w:tcW w:w="684" w:type="dxa"/>
            <w:vMerge w:val="continue"/>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p>
        </w:tc>
        <w:tc>
          <w:tcPr>
            <w:tcW w:w="181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电商社</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40</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2012年</w:t>
            </w:r>
          </w:p>
        </w:tc>
        <w:tc>
          <w:tcPr>
            <w:tcW w:w="992" w:type="dxa"/>
            <w:tcBorders>
              <w:top w:val="nil"/>
              <w:left w:val="nil"/>
              <w:bottom w:val="nil"/>
              <w:right w:val="single" w:color="auto" w:sz="4" w:space="0"/>
            </w:tcBorders>
            <w:vAlign w:val="center"/>
          </w:tcPr>
          <w:p>
            <w:pPr>
              <w:ind w:firstLine="0" w:firstLineChars="0"/>
              <w:jc w:val="center"/>
              <w:rPr>
                <w:sz w:val="18"/>
                <w:szCs w:val="18"/>
              </w:rPr>
            </w:pPr>
            <w:r>
              <w:rPr>
                <w:rFonts w:hint="eastAsia"/>
                <w:sz w:val="18"/>
                <w:szCs w:val="18"/>
              </w:rPr>
              <w:t>吴莹</w:t>
            </w:r>
          </w:p>
        </w:tc>
        <w:tc>
          <w:tcPr>
            <w:tcW w:w="1276"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13580282299</w:t>
            </w:r>
          </w:p>
        </w:tc>
        <w:tc>
          <w:tcPr>
            <w:tcW w:w="851"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黄彤彤</w:t>
            </w:r>
          </w:p>
        </w:tc>
        <w:tc>
          <w:tcPr>
            <w:tcW w:w="1559"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13480324935</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行知楼410</w:t>
            </w:r>
          </w:p>
        </w:tc>
        <w:tc>
          <w:tcPr>
            <w:tcW w:w="1658" w:type="dxa"/>
            <w:tcBorders>
              <w:top w:val="nil"/>
              <w:left w:val="nil"/>
              <w:bottom w:val="single" w:color="auto" w:sz="4" w:space="0"/>
              <w:right w:val="single" w:color="auto" w:sz="4" w:space="0"/>
            </w:tcBorders>
            <w:vAlign w:val="bottom"/>
          </w:tcPr>
          <w:p>
            <w:pPr>
              <w:ind w:firstLine="0" w:firstLineChars="0"/>
              <w:jc w:val="center"/>
              <w:rPr>
                <w:sz w:val="18"/>
                <w:szCs w:val="18"/>
              </w:rPr>
            </w:pPr>
          </w:p>
        </w:tc>
      </w:tr>
      <w:tr>
        <w:tblPrEx>
          <w:tblCellMar>
            <w:top w:w="0" w:type="dxa"/>
            <w:left w:w="108" w:type="dxa"/>
            <w:bottom w:w="0" w:type="dxa"/>
            <w:right w:w="108" w:type="dxa"/>
          </w:tblCellMar>
        </w:tblPrEx>
        <w:trPr>
          <w:trHeight w:val="375"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8</w:t>
            </w:r>
          </w:p>
        </w:tc>
        <w:tc>
          <w:tcPr>
            <w:tcW w:w="684" w:type="dxa"/>
            <w:vMerge w:val="continue"/>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p>
        </w:tc>
        <w:tc>
          <w:tcPr>
            <w:tcW w:w="181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馨音外语社</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45</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2014年</w:t>
            </w:r>
          </w:p>
        </w:tc>
        <w:tc>
          <w:tcPr>
            <w:tcW w:w="992" w:type="dxa"/>
            <w:tcBorders>
              <w:top w:val="single" w:color="auto" w:sz="4" w:space="0"/>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黄晓萍</w:t>
            </w:r>
          </w:p>
        </w:tc>
        <w:tc>
          <w:tcPr>
            <w:tcW w:w="1276"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13828189194</w:t>
            </w:r>
          </w:p>
        </w:tc>
        <w:tc>
          <w:tcPr>
            <w:tcW w:w="851"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温琼琳</w:t>
            </w:r>
          </w:p>
        </w:tc>
        <w:tc>
          <w:tcPr>
            <w:tcW w:w="1559"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13543947038</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明德楼503</w:t>
            </w:r>
          </w:p>
        </w:tc>
        <w:tc>
          <w:tcPr>
            <w:tcW w:w="1658" w:type="dxa"/>
            <w:tcBorders>
              <w:top w:val="nil"/>
              <w:left w:val="nil"/>
              <w:bottom w:val="single" w:color="auto" w:sz="4" w:space="0"/>
              <w:right w:val="single" w:color="auto" w:sz="4" w:space="0"/>
            </w:tcBorders>
            <w:vAlign w:val="bottom"/>
          </w:tcPr>
          <w:p>
            <w:pPr>
              <w:ind w:firstLine="0" w:firstLineChars="0"/>
              <w:jc w:val="center"/>
              <w:rPr>
                <w:sz w:val="18"/>
                <w:szCs w:val="18"/>
              </w:rPr>
            </w:pPr>
          </w:p>
        </w:tc>
      </w:tr>
      <w:tr>
        <w:tblPrEx>
          <w:tblCellMar>
            <w:top w:w="0" w:type="dxa"/>
            <w:left w:w="108" w:type="dxa"/>
            <w:bottom w:w="0" w:type="dxa"/>
            <w:right w:w="108" w:type="dxa"/>
          </w:tblCellMar>
        </w:tblPrEx>
        <w:trPr>
          <w:trHeight w:val="375"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9</w:t>
            </w:r>
          </w:p>
        </w:tc>
        <w:tc>
          <w:tcPr>
            <w:tcW w:w="684" w:type="dxa"/>
            <w:vMerge w:val="continue"/>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p>
        </w:tc>
        <w:tc>
          <w:tcPr>
            <w:tcW w:w="181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文蕴国语社</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32</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2018年</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林洁珠</w:t>
            </w:r>
          </w:p>
        </w:tc>
        <w:tc>
          <w:tcPr>
            <w:tcW w:w="1276"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13380581943</w:t>
            </w:r>
          </w:p>
        </w:tc>
        <w:tc>
          <w:tcPr>
            <w:tcW w:w="851"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邓忆雯</w:t>
            </w:r>
          </w:p>
        </w:tc>
        <w:tc>
          <w:tcPr>
            <w:tcW w:w="1559"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15992544729</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明德楼505</w:t>
            </w:r>
          </w:p>
        </w:tc>
        <w:tc>
          <w:tcPr>
            <w:tcW w:w="1658" w:type="dxa"/>
            <w:tcBorders>
              <w:top w:val="nil"/>
              <w:left w:val="nil"/>
              <w:bottom w:val="single" w:color="auto" w:sz="4" w:space="0"/>
              <w:right w:val="single" w:color="auto" w:sz="4" w:space="0"/>
            </w:tcBorders>
            <w:vAlign w:val="center"/>
          </w:tcPr>
          <w:p>
            <w:pPr>
              <w:ind w:firstLine="0" w:firstLineChars="0"/>
              <w:jc w:val="center"/>
              <w:rPr>
                <w:sz w:val="18"/>
                <w:szCs w:val="18"/>
              </w:rPr>
            </w:pPr>
          </w:p>
        </w:tc>
      </w:tr>
      <w:tr>
        <w:tblPrEx>
          <w:tblCellMar>
            <w:top w:w="0" w:type="dxa"/>
            <w:left w:w="108" w:type="dxa"/>
            <w:bottom w:w="0" w:type="dxa"/>
            <w:right w:w="108" w:type="dxa"/>
          </w:tblCellMar>
        </w:tblPrEx>
        <w:trPr>
          <w:trHeight w:val="375"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10</w:t>
            </w:r>
          </w:p>
        </w:tc>
        <w:tc>
          <w:tcPr>
            <w:tcW w:w="684" w:type="dxa"/>
            <w:vMerge w:val="continue"/>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p>
        </w:tc>
        <w:tc>
          <w:tcPr>
            <w:tcW w:w="181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汽修协会</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2018年</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刘昭雄</w:t>
            </w:r>
          </w:p>
        </w:tc>
        <w:tc>
          <w:tcPr>
            <w:tcW w:w="1276"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13539277319</w:t>
            </w:r>
          </w:p>
        </w:tc>
        <w:tc>
          <w:tcPr>
            <w:tcW w:w="851"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佳涛</w:t>
            </w:r>
          </w:p>
        </w:tc>
        <w:tc>
          <w:tcPr>
            <w:tcW w:w="1559"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18718623207</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行知楼1.2楼</w:t>
            </w:r>
          </w:p>
        </w:tc>
        <w:tc>
          <w:tcPr>
            <w:tcW w:w="1658" w:type="dxa"/>
            <w:tcBorders>
              <w:top w:val="nil"/>
              <w:left w:val="nil"/>
              <w:bottom w:val="single" w:color="auto" w:sz="4" w:space="0"/>
              <w:right w:val="single" w:color="auto" w:sz="4" w:space="0"/>
            </w:tcBorders>
            <w:vAlign w:val="bottom"/>
          </w:tcPr>
          <w:p>
            <w:pPr>
              <w:ind w:firstLine="0" w:firstLineChars="0"/>
              <w:jc w:val="center"/>
              <w:rPr>
                <w:sz w:val="18"/>
                <w:szCs w:val="18"/>
              </w:rPr>
            </w:pPr>
            <w:r>
              <w:rPr>
                <w:rFonts w:hint="eastAsia"/>
                <w:sz w:val="18"/>
                <w:szCs w:val="18"/>
              </w:rPr>
              <w:t>　</w:t>
            </w:r>
          </w:p>
        </w:tc>
      </w:tr>
      <w:tr>
        <w:tblPrEx>
          <w:tblCellMar>
            <w:top w:w="0" w:type="dxa"/>
            <w:left w:w="108" w:type="dxa"/>
            <w:bottom w:w="0" w:type="dxa"/>
            <w:right w:w="108" w:type="dxa"/>
          </w:tblCellMar>
        </w:tblPrEx>
        <w:trPr>
          <w:trHeight w:val="375"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11</w:t>
            </w:r>
          </w:p>
        </w:tc>
        <w:tc>
          <w:tcPr>
            <w:tcW w:w="684" w:type="dxa"/>
            <w:vMerge w:val="continue"/>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p>
        </w:tc>
        <w:tc>
          <w:tcPr>
            <w:tcW w:w="181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美术社</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30</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2015年</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陈少娟</w:t>
            </w:r>
          </w:p>
        </w:tc>
        <w:tc>
          <w:tcPr>
            <w:tcW w:w="1276"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1353191990</w:t>
            </w:r>
          </w:p>
        </w:tc>
        <w:tc>
          <w:tcPr>
            <w:tcW w:w="851"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王灏聪</w:t>
            </w:r>
          </w:p>
        </w:tc>
        <w:tc>
          <w:tcPr>
            <w:tcW w:w="1559"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17325785779</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明德楼四楼402</w:t>
            </w:r>
          </w:p>
        </w:tc>
        <w:tc>
          <w:tcPr>
            <w:tcW w:w="1658" w:type="dxa"/>
            <w:tcBorders>
              <w:top w:val="nil"/>
              <w:left w:val="nil"/>
              <w:bottom w:val="single" w:color="auto" w:sz="4" w:space="0"/>
              <w:right w:val="single" w:color="auto" w:sz="4" w:space="0"/>
            </w:tcBorders>
            <w:vAlign w:val="bottom"/>
          </w:tcPr>
          <w:p>
            <w:pPr>
              <w:ind w:firstLine="0" w:firstLineChars="0"/>
              <w:jc w:val="center"/>
              <w:rPr>
                <w:sz w:val="18"/>
                <w:szCs w:val="18"/>
              </w:rPr>
            </w:pPr>
            <w:r>
              <w:rPr>
                <w:rFonts w:hint="eastAsia"/>
                <w:sz w:val="18"/>
                <w:szCs w:val="18"/>
              </w:rPr>
              <w:t>　</w:t>
            </w:r>
          </w:p>
        </w:tc>
      </w:tr>
      <w:tr>
        <w:tblPrEx>
          <w:tblCellMar>
            <w:top w:w="0" w:type="dxa"/>
            <w:left w:w="108" w:type="dxa"/>
            <w:bottom w:w="0" w:type="dxa"/>
            <w:right w:w="108" w:type="dxa"/>
          </w:tblCellMar>
        </w:tblPrEx>
        <w:trPr>
          <w:trHeight w:val="375"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12</w:t>
            </w:r>
          </w:p>
        </w:tc>
        <w:tc>
          <w:tcPr>
            <w:tcW w:w="684" w:type="dxa"/>
            <w:vMerge w:val="continue"/>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p>
        </w:tc>
        <w:tc>
          <w:tcPr>
            <w:tcW w:w="1814"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艺厨烹饪社</w:t>
            </w:r>
          </w:p>
        </w:tc>
        <w:tc>
          <w:tcPr>
            <w:tcW w:w="1418"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30</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2016年</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郑文焕</w:t>
            </w:r>
          </w:p>
        </w:tc>
        <w:tc>
          <w:tcPr>
            <w:tcW w:w="1276"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13822083574</w:t>
            </w:r>
          </w:p>
        </w:tc>
        <w:tc>
          <w:tcPr>
            <w:tcW w:w="851"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洪子玲</w:t>
            </w:r>
          </w:p>
        </w:tc>
        <w:tc>
          <w:tcPr>
            <w:tcW w:w="155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15018230865</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忆本堂三楼</w:t>
            </w:r>
          </w:p>
        </w:tc>
        <w:tc>
          <w:tcPr>
            <w:tcW w:w="1658" w:type="dxa"/>
            <w:tcBorders>
              <w:top w:val="nil"/>
              <w:left w:val="nil"/>
              <w:bottom w:val="single" w:color="auto" w:sz="4" w:space="0"/>
              <w:right w:val="single" w:color="auto" w:sz="4" w:space="0"/>
            </w:tcBorders>
            <w:vAlign w:val="bottom"/>
          </w:tcPr>
          <w:p>
            <w:pPr>
              <w:ind w:firstLine="0" w:firstLineChars="0"/>
              <w:jc w:val="center"/>
              <w:rPr>
                <w:sz w:val="18"/>
                <w:szCs w:val="18"/>
              </w:rPr>
            </w:pPr>
          </w:p>
        </w:tc>
      </w:tr>
      <w:tr>
        <w:tblPrEx>
          <w:tblCellMar>
            <w:top w:w="0" w:type="dxa"/>
            <w:left w:w="108" w:type="dxa"/>
            <w:bottom w:w="0" w:type="dxa"/>
            <w:right w:w="108" w:type="dxa"/>
          </w:tblCellMar>
        </w:tblPrEx>
        <w:trPr>
          <w:trHeight w:val="375"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13</w:t>
            </w:r>
          </w:p>
        </w:tc>
        <w:tc>
          <w:tcPr>
            <w:tcW w:w="684" w:type="dxa"/>
            <w:vMerge w:val="restart"/>
            <w:tcBorders>
              <w:top w:val="nil"/>
              <w:left w:val="single" w:color="auto" w:sz="4" w:space="0"/>
              <w:bottom w:val="single" w:color="000000" w:sz="4" w:space="0"/>
              <w:right w:val="single" w:color="auto" w:sz="4" w:space="0"/>
            </w:tcBorders>
            <w:vAlign w:val="center"/>
          </w:tcPr>
          <w:p>
            <w:pPr>
              <w:ind w:firstLine="0" w:firstLineChars="0"/>
              <w:jc w:val="center"/>
              <w:rPr>
                <w:sz w:val="18"/>
                <w:szCs w:val="18"/>
              </w:rPr>
            </w:pPr>
            <w:r>
              <w:rPr>
                <w:rFonts w:hint="eastAsia"/>
                <w:sz w:val="18"/>
                <w:szCs w:val="18"/>
              </w:rPr>
              <w:t>文学  艺术类</w:t>
            </w:r>
          </w:p>
        </w:tc>
        <w:tc>
          <w:tcPr>
            <w:tcW w:w="181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望晓文艺学社</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40</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1989年</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陈杰娜</w:t>
            </w:r>
          </w:p>
        </w:tc>
        <w:tc>
          <w:tcPr>
            <w:tcW w:w="1276"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13925603950</w:t>
            </w:r>
          </w:p>
        </w:tc>
        <w:tc>
          <w:tcPr>
            <w:tcW w:w="851"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黄河</w:t>
            </w:r>
          </w:p>
        </w:tc>
        <w:tc>
          <w:tcPr>
            <w:tcW w:w="1559"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18128310702</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思齐楼103　</w:t>
            </w:r>
          </w:p>
        </w:tc>
        <w:tc>
          <w:tcPr>
            <w:tcW w:w="1658" w:type="dxa"/>
            <w:tcBorders>
              <w:top w:val="nil"/>
              <w:left w:val="nil"/>
              <w:bottom w:val="single" w:color="auto" w:sz="4" w:space="0"/>
              <w:right w:val="single" w:color="auto" w:sz="4" w:space="0"/>
            </w:tcBorders>
            <w:noWrap/>
            <w:vAlign w:val="center"/>
          </w:tcPr>
          <w:p>
            <w:pPr>
              <w:ind w:firstLine="0" w:firstLineChars="0"/>
              <w:jc w:val="center"/>
              <w:rPr>
                <w:sz w:val="18"/>
                <w:szCs w:val="18"/>
              </w:rPr>
            </w:pPr>
          </w:p>
        </w:tc>
      </w:tr>
      <w:tr>
        <w:tblPrEx>
          <w:tblCellMar>
            <w:top w:w="0" w:type="dxa"/>
            <w:left w:w="108" w:type="dxa"/>
            <w:bottom w:w="0" w:type="dxa"/>
            <w:right w:w="108" w:type="dxa"/>
          </w:tblCellMar>
        </w:tblPrEx>
        <w:trPr>
          <w:trHeight w:val="375"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14</w:t>
            </w:r>
          </w:p>
        </w:tc>
        <w:tc>
          <w:tcPr>
            <w:tcW w:w="684" w:type="dxa"/>
            <w:vMerge w:val="continue"/>
            <w:tcBorders>
              <w:top w:val="nil"/>
              <w:left w:val="single" w:color="auto" w:sz="4" w:space="0"/>
              <w:bottom w:val="single" w:color="000000" w:sz="4" w:space="0"/>
              <w:right w:val="single" w:color="auto" w:sz="4" w:space="0"/>
            </w:tcBorders>
            <w:vAlign w:val="center"/>
          </w:tcPr>
          <w:p>
            <w:pPr>
              <w:ind w:firstLine="0" w:firstLineChars="0"/>
              <w:jc w:val="center"/>
              <w:rPr>
                <w:sz w:val="18"/>
                <w:szCs w:val="18"/>
              </w:rPr>
            </w:pPr>
          </w:p>
        </w:tc>
        <w:tc>
          <w:tcPr>
            <w:tcW w:w="181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口才协会</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21</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2010年</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何郁群</w:t>
            </w:r>
          </w:p>
        </w:tc>
        <w:tc>
          <w:tcPr>
            <w:tcW w:w="1276"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13822033378</w:t>
            </w:r>
          </w:p>
        </w:tc>
        <w:tc>
          <w:tcPr>
            <w:tcW w:w="851"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林艺涵</w:t>
            </w:r>
          </w:p>
        </w:tc>
        <w:tc>
          <w:tcPr>
            <w:tcW w:w="1559"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18318076774</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机电部401</w:t>
            </w:r>
          </w:p>
        </w:tc>
        <w:tc>
          <w:tcPr>
            <w:tcW w:w="1658" w:type="dxa"/>
            <w:tcBorders>
              <w:top w:val="nil"/>
              <w:left w:val="nil"/>
              <w:bottom w:val="single" w:color="auto" w:sz="4" w:space="0"/>
              <w:right w:val="single" w:color="auto" w:sz="4" w:space="0"/>
            </w:tcBorders>
            <w:vAlign w:val="bottom"/>
          </w:tcPr>
          <w:p>
            <w:pPr>
              <w:ind w:firstLine="0" w:firstLineChars="0"/>
              <w:jc w:val="center"/>
              <w:rPr>
                <w:sz w:val="18"/>
                <w:szCs w:val="18"/>
              </w:rPr>
            </w:pPr>
          </w:p>
        </w:tc>
      </w:tr>
      <w:tr>
        <w:tblPrEx>
          <w:tblCellMar>
            <w:top w:w="0" w:type="dxa"/>
            <w:left w:w="108" w:type="dxa"/>
            <w:bottom w:w="0" w:type="dxa"/>
            <w:right w:w="108" w:type="dxa"/>
          </w:tblCellMar>
        </w:tblPrEx>
        <w:trPr>
          <w:trHeight w:val="276"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15</w:t>
            </w:r>
          </w:p>
        </w:tc>
        <w:tc>
          <w:tcPr>
            <w:tcW w:w="684" w:type="dxa"/>
            <w:vMerge w:val="continue"/>
            <w:tcBorders>
              <w:top w:val="nil"/>
              <w:left w:val="single" w:color="auto" w:sz="4" w:space="0"/>
              <w:bottom w:val="single" w:color="000000" w:sz="4" w:space="0"/>
              <w:right w:val="single" w:color="auto" w:sz="4" w:space="0"/>
            </w:tcBorders>
            <w:vAlign w:val="center"/>
          </w:tcPr>
          <w:p>
            <w:pPr>
              <w:ind w:firstLine="0" w:firstLineChars="0"/>
              <w:jc w:val="center"/>
              <w:rPr>
                <w:sz w:val="18"/>
                <w:szCs w:val="18"/>
              </w:rPr>
            </w:pPr>
          </w:p>
        </w:tc>
        <w:tc>
          <w:tcPr>
            <w:tcW w:w="181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Keep style街舞社</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87</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2010年</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郑芷婷</w:t>
            </w:r>
          </w:p>
        </w:tc>
        <w:tc>
          <w:tcPr>
            <w:tcW w:w="1276"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18420386233</w:t>
            </w:r>
          </w:p>
        </w:tc>
        <w:tc>
          <w:tcPr>
            <w:tcW w:w="851"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颜晓丹</w:t>
            </w:r>
          </w:p>
        </w:tc>
        <w:tc>
          <w:tcPr>
            <w:tcW w:w="1559"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15014470503</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阳明楼 明德楼楼下</w:t>
            </w:r>
          </w:p>
        </w:tc>
        <w:tc>
          <w:tcPr>
            <w:tcW w:w="1658" w:type="dxa"/>
            <w:tcBorders>
              <w:top w:val="nil"/>
              <w:left w:val="nil"/>
              <w:bottom w:val="single" w:color="auto" w:sz="4" w:space="0"/>
              <w:right w:val="single" w:color="auto" w:sz="4" w:space="0"/>
            </w:tcBorders>
            <w:vAlign w:val="bottom"/>
          </w:tcPr>
          <w:p>
            <w:pPr>
              <w:ind w:firstLine="0" w:firstLineChars="0"/>
              <w:jc w:val="center"/>
              <w:rPr>
                <w:sz w:val="18"/>
                <w:szCs w:val="18"/>
              </w:rPr>
            </w:pPr>
          </w:p>
        </w:tc>
      </w:tr>
      <w:tr>
        <w:tblPrEx>
          <w:tblCellMar>
            <w:top w:w="0" w:type="dxa"/>
            <w:left w:w="108" w:type="dxa"/>
            <w:bottom w:w="0" w:type="dxa"/>
            <w:right w:w="108" w:type="dxa"/>
          </w:tblCellMar>
        </w:tblPrEx>
        <w:trPr>
          <w:trHeight w:val="375"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16</w:t>
            </w:r>
          </w:p>
        </w:tc>
        <w:tc>
          <w:tcPr>
            <w:tcW w:w="684" w:type="dxa"/>
            <w:vMerge w:val="continue"/>
            <w:tcBorders>
              <w:top w:val="nil"/>
              <w:left w:val="single" w:color="auto" w:sz="4" w:space="0"/>
              <w:bottom w:val="single" w:color="000000" w:sz="4" w:space="0"/>
              <w:right w:val="single" w:color="auto" w:sz="4" w:space="0"/>
            </w:tcBorders>
            <w:vAlign w:val="center"/>
          </w:tcPr>
          <w:p>
            <w:pPr>
              <w:ind w:firstLine="0" w:firstLineChars="0"/>
              <w:jc w:val="center"/>
              <w:rPr>
                <w:sz w:val="18"/>
                <w:szCs w:val="18"/>
              </w:rPr>
            </w:pPr>
          </w:p>
        </w:tc>
        <w:tc>
          <w:tcPr>
            <w:tcW w:w="181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古筝社</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18</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2011年</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许清清</w:t>
            </w:r>
          </w:p>
        </w:tc>
        <w:tc>
          <w:tcPr>
            <w:tcW w:w="1276"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13923557638</w:t>
            </w:r>
          </w:p>
        </w:tc>
        <w:tc>
          <w:tcPr>
            <w:tcW w:w="851"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李娅婷</w:t>
            </w:r>
          </w:p>
        </w:tc>
        <w:tc>
          <w:tcPr>
            <w:tcW w:w="1559"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18318041747</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　明德楼502</w:t>
            </w:r>
          </w:p>
        </w:tc>
        <w:tc>
          <w:tcPr>
            <w:tcW w:w="1658" w:type="dxa"/>
            <w:tcBorders>
              <w:top w:val="nil"/>
              <w:left w:val="nil"/>
              <w:bottom w:val="single" w:color="auto" w:sz="4" w:space="0"/>
              <w:right w:val="single" w:color="auto" w:sz="4" w:space="0"/>
            </w:tcBorders>
            <w:vAlign w:val="bottom"/>
          </w:tcPr>
          <w:p>
            <w:pPr>
              <w:ind w:firstLine="0" w:firstLineChars="0"/>
              <w:jc w:val="center"/>
              <w:rPr>
                <w:sz w:val="18"/>
                <w:szCs w:val="18"/>
              </w:rPr>
            </w:pPr>
            <w:r>
              <w:rPr>
                <w:rFonts w:hint="eastAsia"/>
                <w:sz w:val="18"/>
                <w:szCs w:val="18"/>
              </w:rPr>
              <w:t>　</w:t>
            </w:r>
          </w:p>
        </w:tc>
      </w:tr>
      <w:tr>
        <w:tblPrEx>
          <w:tblCellMar>
            <w:top w:w="0" w:type="dxa"/>
            <w:left w:w="108" w:type="dxa"/>
            <w:bottom w:w="0" w:type="dxa"/>
            <w:right w:w="108" w:type="dxa"/>
          </w:tblCellMar>
        </w:tblPrEx>
        <w:trPr>
          <w:trHeight w:val="375"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17</w:t>
            </w:r>
          </w:p>
        </w:tc>
        <w:tc>
          <w:tcPr>
            <w:tcW w:w="684" w:type="dxa"/>
            <w:vMerge w:val="continue"/>
            <w:tcBorders>
              <w:top w:val="nil"/>
              <w:left w:val="single" w:color="auto" w:sz="4" w:space="0"/>
              <w:bottom w:val="single" w:color="000000" w:sz="4" w:space="0"/>
              <w:right w:val="single" w:color="auto" w:sz="4" w:space="0"/>
            </w:tcBorders>
            <w:vAlign w:val="center"/>
          </w:tcPr>
          <w:p>
            <w:pPr>
              <w:ind w:firstLine="0" w:firstLineChars="0"/>
              <w:jc w:val="center"/>
              <w:rPr>
                <w:sz w:val="18"/>
                <w:szCs w:val="18"/>
              </w:rPr>
            </w:pPr>
          </w:p>
        </w:tc>
        <w:tc>
          <w:tcPr>
            <w:tcW w:w="181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悟方书法社</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33</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2018年</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吴榕华</w:t>
            </w:r>
          </w:p>
        </w:tc>
        <w:tc>
          <w:tcPr>
            <w:tcW w:w="1276"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13500166165</w:t>
            </w:r>
          </w:p>
        </w:tc>
        <w:tc>
          <w:tcPr>
            <w:tcW w:w="851"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王泽敏</w:t>
            </w:r>
          </w:p>
        </w:tc>
        <w:tc>
          <w:tcPr>
            <w:tcW w:w="1559"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13413970940</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明德楼401</w:t>
            </w:r>
          </w:p>
        </w:tc>
        <w:tc>
          <w:tcPr>
            <w:tcW w:w="1658" w:type="dxa"/>
            <w:tcBorders>
              <w:top w:val="nil"/>
              <w:left w:val="nil"/>
              <w:bottom w:val="single" w:color="auto" w:sz="4" w:space="0"/>
              <w:right w:val="single" w:color="auto" w:sz="4" w:space="0"/>
            </w:tcBorders>
            <w:vAlign w:val="bottom"/>
          </w:tcPr>
          <w:p>
            <w:pPr>
              <w:ind w:firstLine="0" w:firstLineChars="0"/>
              <w:jc w:val="center"/>
              <w:rPr>
                <w:sz w:val="18"/>
                <w:szCs w:val="18"/>
              </w:rPr>
            </w:pPr>
            <w:r>
              <w:rPr>
                <w:rFonts w:hint="eastAsia"/>
                <w:sz w:val="18"/>
                <w:szCs w:val="18"/>
              </w:rPr>
              <w:t>　</w:t>
            </w:r>
          </w:p>
        </w:tc>
      </w:tr>
      <w:tr>
        <w:tblPrEx>
          <w:tblCellMar>
            <w:top w:w="0" w:type="dxa"/>
            <w:left w:w="108" w:type="dxa"/>
            <w:bottom w:w="0" w:type="dxa"/>
            <w:right w:w="108" w:type="dxa"/>
          </w:tblCellMar>
        </w:tblPrEx>
        <w:trPr>
          <w:trHeight w:val="375"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18</w:t>
            </w:r>
          </w:p>
        </w:tc>
        <w:tc>
          <w:tcPr>
            <w:tcW w:w="684" w:type="dxa"/>
            <w:vMerge w:val="continue"/>
            <w:tcBorders>
              <w:top w:val="nil"/>
              <w:left w:val="single" w:color="auto" w:sz="4" w:space="0"/>
              <w:bottom w:val="single" w:color="000000" w:sz="4" w:space="0"/>
              <w:right w:val="single" w:color="auto" w:sz="4" w:space="0"/>
            </w:tcBorders>
            <w:vAlign w:val="center"/>
          </w:tcPr>
          <w:p>
            <w:pPr>
              <w:ind w:firstLine="0" w:firstLineChars="0"/>
              <w:jc w:val="center"/>
              <w:rPr>
                <w:sz w:val="18"/>
                <w:szCs w:val="18"/>
              </w:rPr>
            </w:pPr>
          </w:p>
        </w:tc>
        <w:tc>
          <w:tcPr>
            <w:tcW w:w="181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吉他社</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46</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2012年</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陈洁仪</w:t>
            </w:r>
          </w:p>
        </w:tc>
        <w:tc>
          <w:tcPr>
            <w:tcW w:w="1276"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15016668210</w:t>
            </w:r>
          </w:p>
        </w:tc>
        <w:tc>
          <w:tcPr>
            <w:tcW w:w="851"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徐伟嘉</w:t>
            </w:r>
          </w:p>
        </w:tc>
        <w:tc>
          <w:tcPr>
            <w:tcW w:w="1559"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17342838853</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明德楼502</w:t>
            </w:r>
          </w:p>
        </w:tc>
        <w:tc>
          <w:tcPr>
            <w:tcW w:w="1658" w:type="dxa"/>
            <w:tcBorders>
              <w:top w:val="nil"/>
              <w:left w:val="nil"/>
              <w:bottom w:val="single" w:color="auto" w:sz="4" w:space="0"/>
              <w:right w:val="single" w:color="auto" w:sz="4" w:space="0"/>
            </w:tcBorders>
            <w:vAlign w:val="bottom"/>
          </w:tcPr>
          <w:p>
            <w:pPr>
              <w:ind w:firstLine="0" w:firstLineChars="0"/>
              <w:jc w:val="center"/>
              <w:rPr>
                <w:sz w:val="18"/>
                <w:szCs w:val="18"/>
              </w:rPr>
            </w:pPr>
            <w:r>
              <w:rPr>
                <w:rFonts w:hint="eastAsia"/>
                <w:sz w:val="18"/>
                <w:szCs w:val="18"/>
              </w:rPr>
              <w:t>　</w:t>
            </w:r>
          </w:p>
        </w:tc>
      </w:tr>
      <w:tr>
        <w:tblPrEx>
          <w:tblCellMar>
            <w:top w:w="0" w:type="dxa"/>
            <w:left w:w="108" w:type="dxa"/>
            <w:bottom w:w="0" w:type="dxa"/>
            <w:right w:w="108" w:type="dxa"/>
          </w:tblCellMar>
        </w:tblPrEx>
        <w:trPr>
          <w:trHeight w:val="375"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19</w:t>
            </w:r>
          </w:p>
        </w:tc>
        <w:tc>
          <w:tcPr>
            <w:tcW w:w="684" w:type="dxa"/>
            <w:vMerge w:val="continue"/>
            <w:tcBorders>
              <w:top w:val="nil"/>
              <w:left w:val="single" w:color="auto" w:sz="4" w:space="0"/>
              <w:bottom w:val="single" w:color="000000" w:sz="4" w:space="0"/>
              <w:right w:val="single" w:color="auto" w:sz="4" w:space="0"/>
            </w:tcBorders>
            <w:vAlign w:val="center"/>
          </w:tcPr>
          <w:p>
            <w:pPr>
              <w:ind w:firstLine="0" w:firstLineChars="0"/>
              <w:jc w:val="center"/>
              <w:rPr>
                <w:sz w:val="18"/>
                <w:szCs w:val="18"/>
              </w:rPr>
            </w:pPr>
          </w:p>
        </w:tc>
        <w:tc>
          <w:tcPr>
            <w:tcW w:w="181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曳步舞社</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30</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2012年</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林璐璐</w:t>
            </w:r>
          </w:p>
        </w:tc>
        <w:tc>
          <w:tcPr>
            <w:tcW w:w="1276"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13802319797</w:t>
            </w:r>
          </w:p>
        </w:tc>
        <w:tc>
          <w:tcPr>
            <w:tcW w:w="851"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郑子庆</w:t>
            </w:r>
          </w:p>
        </w:tc>
        <w:tc>
          <w:tcPr>
            <w:tcW w:w="1559"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15917956224</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臻善楼一楼 空地</w:t>
            </w:r>
          </w:p>
        </w:tc>
        <w:tc>
          <w:tcPr>
            <w:tcW w:w="1658" w:type="dxa"/>
            <w:tcBorders>
              <w:top w:val="nil"/>
              <w:left w:val="nil"/>
              <w:bottom w:val="single" w:color="auto" w:sz="4" w:space="0"/>
              <w:right w:val="single" w:color="auto" w:sz="4" w:space="0"/>
            </w:tcBorders>
            <w:vAlign w:val="bottom"/>
          </w:tcPr>
          <w:p>
            <w:pPr>
              <w:ind w:firstLine="0" w:firstLineChars="0"/>
              <w:jc w:val="center"/>
              <w:rPr>
                <w:sz w:val="18"/>
                <w:szCs w:val="18"/>
              </w:rPr>
            </w:pPr>
            <w:r>
              <w:rPr>
                <w:rFonts w:hint="eastAsia"/>
                <w:sz w:val="18"/>
                <w:szCs w:val="18"/>
              </w:rPr>
              <w:t>　</w:t>
            </w:r>
          </w:p>
        </w:tc>
      </w:tr>
      <w:tr>
        <w:tblPrEx>
          <w:tblCellMar>
            <w:top w:w="0" w:type="dxa"/>
            <w:left w:w="108" w:type="dxa"/>
            <w:bottom w:w="0" w:type="dxa"/>
            <w:right w:w="108" w:type="dxa"/>
          </w:tblCellMar>
        </w:tblPrEx>
        <w:trPr>
          <w:trHeight w:val="375"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20</w:t>
            </w:r>
          </w:p>
        </w:tc>
        <w:tc>
          <w:tcPr>
            <w:tcW w:w="684" w:type="dxa"/>
            <w:vMerge w:val="continue"/>
            <w:tcBorders>
              <w:top w:val="nil"/>
              <w:left w:val="single" w:color="auto" w:sz="4" w:space="0"/>
              <w:bottom w:val="single" w:color="000000" w:sz="4" w:space="0"/>
              <w:right w:val="single" w:color="auto" w:sz="4" w:space="0"/>
            </w:tcBorders>
            <w:vAlign w:val="center"/>
          </w:tcPr>
          <w:p>
            <w:pPr>
              <w:ind w:firstLine="0" w:firstLineChars="0"/>
              <w:jc w:val="center"/>
              <w:rPr>
                <w:sz w:val="18"/>
                <w:szCs w:val="18"/>
              </w:rPr>
            </w:pPr>
          </w:p>
        </w:tc>
        <w:tc>
          <w:tcPr>
            <w:tcW w:w="181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怡尚肚皮舞社</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14</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2014年</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林璐璐</w:t>
            </w:r>
          </w:p>
        </w:tc>
        <w:tc>
          <w:tcPr>
            <w:tcW w:w="1276"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13802319797</w:t>
            </w:r>
          </w:p>
        </w:tc>
        <w:tc>
          <w:tcPr>
            <w:tcW w:w="851"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古敏平</w:t>
            </w:r>
          </w:p>
        </w:tc>
        <w:tc>
          <w:tcPr>
            <w:tcW w:w="1559"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15767054211</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女生宿舍旁边舞蹈室</w:t>
            </w:r>
          </w:p>
        </w:tc>
        <w:tc>
          <w:tcPr>
            <w:tcW w:w="1658" w:type="dxa"/>
            <w:tcBorders>
              <w:top w:val="nil"/>
              <w:left w:val="nil"/>
              <w:bottom w:val="single" w:color="auto" w:sz="4" w:space="0"/>
              <w:right w:val="single" w:color="auto" w:sz="4" w:space="0"/>
            </w:tcBorders>
            <w:vAlign w:val="bottom"/>
          </w:tcPr>
          <w:p>
            <w:pPr>
              <w:ind w:firstLine="0" w:firstLineChars="0"/>
              <w:jc w:val="center"/>
              <w:rPr>
                <w:sz w:val="18"/>
                <w:szCs w:val="18"/>
              </w:rPr>
            </w:pPr>
            <w:r>
              <w:rPr>
                <w:rFonts w:hint="eastAsia"/>
                <w:sz w:val="18"/>
                <w:szCs w:val="18"/>
              </w:rPr>
              <w:t>　</w:t>
            </w:r>
          </w:p>
        </w:tc>
      </w:tr>
      <w:tr>
        <w:tblPrEx>
          <w:tblCellMar>
            <w:top w:w="0" w:type="dxa"/>
            <w:left w:w="108" w:type="dxa"/>
            <w:bottom w:w="0" w:type="dxa"/>
            <w:right w:w="108" w:type="dxa"/>
          </w:tblCellMar>
        </w:tblPrEx>
        <w:trPr>
          <w:trHeight w:val="375"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21</w:t>
            </w:r>
          </w:p>
        </w:tc>
        <w:tc>
          <w:tcPr>
            <w:tcW w:w="684" w:type="dxa"/>
            <w:vMerge w:val="continue"/>
            <w:tcBorders>
              <w:top w:val="nil"/>
              <w:left w:val="single" w:color="auto" w:sz="4" w:space="0"/>
              <w:bottom w:val="single" w:color="000000" w:sz="4" w:space="0"/>
              <w:right w:val="single" w:color="auto" w:sz="4" w:space="0"/>
            </w:tcBorders>
            <w:vAlign w:val="center"/>
          </w:tcPr>
          <w:p>
            <w:pPr>
              <w:ind w:firstLine="0" w:firstLineChars="0"/>
              <w:jc w:val="center"/>
              <w:rPr>
                <w:sz w:val="18"/>
                <w:szCs w:val="18"/>
              </w:rPr>
            </w:pPr>
          </w:p>
        </w:tc>
        <w:tc>
          <w:tcPr>
            <w:tcW w:w="181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百灵鸟主持人社</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2015年</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林洁珠</w:t>
            </w:r>
          </w:p>
        </w:tc>
        <w:tc>
          <w:tcPr>
            <w:tcW w:w="1276"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13380581943</w:t>
            </w:r>
          </w:p>
        </w:tc>
        <w:tc>
          <w:tcPr>
            <w:tcW w:w="851"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王润超</w:t>
            </w:r>
          </w:p>
        </w:tc>
        <w:tc>
          <w:tcPr>
            <w:tcW w:w="1559"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18318148346</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思齐楼402</w:t>
            </w:r>
          </w:p>
        </w:tc>
        <w:tc>
          <w:tcPr>
            <w:tcW w:w="1658" w:type="dxa"/>
            <w:tcBorders>
              <w:top w:val="nil"/>
              <w:left w:val="nil"/>
              <w:bottom w:val="single" w:color="auto" w:sz="4" w:space="0"/>
              <w:right w:val="single" w:color="auto" w:sz="4" w:space="0"/>
            </w:tcBorders>
            <w:vAlign w:val="bottom"/>
          </w:tcPr>
          <w:p>
            <w:pPr>
              <w:ind w:firstLine="0" w:firstLineChars="0"/>
              <w:jc w:val="center"/>
              <w:rPr>
                <w:sz w:val="18"/>
                <w:szCs w:val="18"/>
              </w:rPr>
            </w:pPr>
          </w:p>
        </w:tc>
      </w:tr>
      <w:tr>
        <w:tblPrEx>
          <w:tblCellMar>
            <w:top w:w="0" w:type="dxa"/>
            <w:left w:w="108" w:type="dxa"/>
            <w:bottom w:w="0" w:type="dxa"/>
            <w:right w:w="108" w:type="dxa"/>
          </w:tblCellMar>
        </w:tblPrEx>
        <w:trPr>
          <w:trHeight w:val="375"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22</w:t>
            </w:r>
          </w:p>
        </w:tc>
        <w:tc>
          <w:tcPr>
            <w:tcW w:w="684" w:type="dxa"/>
            <w:vMerge w:val="continue"/>
            <w:tcBorders>
              <w:top w:val="nil"/>
              <w:left w:val="single" w:color="auto" w:sz="4" w:space="0"/>
              <w:bottom w:val="single" w:color="000000" w:sz="4" w:space="0"/>
              <w:right w:val="single" w:color="auto" w:sz="4" w:space="0"/>
            </w:tcBorders>
            <w:vAlign w:val="center"/>
          </w:tcPr>
          <w:p>
            <w:pPr>
              <w:ind w:firstLine="0" w:firstLineChars="0"/>
              <w:jc w:val="center"/>
              <w:rPr>
                <w:sz w:val="18"/>
                <w:szCs w:val="18"/>
              </w:rPr>
            </w:pPr>
          </w:p>
        </w:tc>
        <w:tc>
          <w:tcPr>
            <w:tcW w:w="181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韵弦音乐社</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2016年</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林耿姗</w:t>
            </w:r>
          </w:p>
        </w:tc>
        <w:tc>
          <w:tcPr>
            <w:tcW w:w="1276"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15975233708</w:t>
            </w:r>
          </w:p>
        </w:tc>
        <w:tc>
          <w:tcPr>
            <w:tcW w:w="851"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柯麦佳</w:t>
            </w:r>
          </w:p>
        </w:tc>
        <w:tc>
          <w:tcPr>
            <w:tcW w:w="1559"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18718626476</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明德楼501　</w:t>
            </w:r>
          </w:p>
        </w:tc>
        <w:tc>
          <w:tcPr>
            <w:tcW w:w="1658" w:type="dxa"/>
            <w:tcBorders>
              <w:top w:val="nil"/>
              <w:left w:val="nil"/>
              <w:bottom w:val="single" w:color="auto" w:sz="4" w:space="0"/>
              <w:right w:val="single" w:color="auto" w:sz="4" w:space="0"/>
            </w:tcBorders>
            <w:vAlign w:val="bottom"/>
          </w:tcPr>
          <w:p>
            <w:pPr>
              <w:ind w:firstLine="0" w:firstLineChars="0"/>
              <w:jc w:val="center"/>
              <w:rPr>
                <w:sz w:val="18"/>
                <w:szCs w:val="18"/>
              </w:rPr>
            </w:pPr>
          </w:p>
        </w:tc>
      </w:tr>
      <w:tr>
        <w:tblPrEx>
          <w:tblCellMar>
            <w:top w:w="0" w:type="dxa"/>
            <w:left w:w="108" w:type="dxa"/>
            <w:bottom w:w="0" w:type="dxa"/>
            <w:right w:w="108" w:type="dxa"/>
          </w:tblCellMar>
        </w:tblPrEx>
        <w:trPr>
          <w:trHeight w:val="375"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23</w:t>
            </w:r>
          </w:p>
        </w:tc>
        <w:tc>
          <w:tcPr>
            <w:tcW w:w="684" w:type="dxa"/>
            <w:vMerge w:val="continue"/>
            <w:tcBorders>
              <w:top w:val="nil"/>
              <w:left w:val="single" w:color="auto" w:sz="4" w:space="0"/>
              <w:bottom w:val="single" w:color="000000" w:sz="4" w:space="0"/>
              <w:right w:val="single" w:color="auto" w:sz="4" w:space="0"/>
            </w:tcBorders>
            <w:vAlign w:val="center"/>
          </w:tcPr>
          <w:p>
            <w:pPr>
              <w:ind w:firstLine="0" w:firstLineChars="0"/>
              <w:jc w:val="center"/>
              <w:rPr>
                <w:sz w:val="18"/>
                <w:szCs w:val="18"/>
              </w:rPr>
            </w:pPr>
          </w:p>
        </w:tc>
        <w:tc>
          <w:tcPr>
            <w:tcW w:w="1814"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惊天魔术社</w:t>
            </w:r>
          </w:p>
        </w:tc>
        <w:tc>
          <w:tcPr>
            <w:tcW w:w="1418"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20</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2018年</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黄海清</w:t>
            </w:r>
          </w:p>
        </w:tc>
        <w:tc>
          <w:tcPr>
            <w:tcW w:w="1276"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15766996890</w:t>
            </w:r>
          </w:p>
        </w:tc>
        <w:tc>
          <w:tcPr>
            <w:tcW w:w="851"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汪锦城</w:t>
            </w:r>
          </w:p>
        </w:tc>
        <w:tc>
          <w:tcPr>
            <w:tcW w:w="155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17846654009</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思齐楼（机电部）401</w:t>
            </w:r>
          </w:p>
        </w:tc>
        <w:tc>
          <w:tcPr>
            <w:tcW w:w="1658" w:type="dxa"/>
            <w:tcBorders>
              <w:top w:val="nil"/>
              <w:left w:val="nil"/>
              <w:bottom w:val="single" w:color="auto" w:sz="4" w:space="0"/>
              <w:right w:val="single" w:color="auto" w:sz="4" w:space="0"/>
            </w:tcBorders>
            <w:vAlign w:val="bottom"/>
          </w:tcPr>
          <w:p>
            <w:pPr>
              <w:ind w:firstLine="0" w:firstLineChars="0"/>
              <w:jc w:val="center"/>
              <w:rPr>
                <w:sz w:val="18"/>
                <w:szCs w:val="18"/>
              </w:rPr>
            </w:pPr>
            <w:r>
              <w:rPr>
                <w:rFonts w:hint="eastAsia"/>
                <w:sz w:val="18"/>
                <w:szCs w:val="18"/>
              </w:rPr>
              <w:t>　</w:t>
            </w:r>
          </w:p>
        </w:tc>
      </w:tr>
      <w:tr>
        <w:tblPrEx>
          <w:tblCellMar>
            <w:top w:w="0" w:type="dxa"/>
            <w:left w:w="108" w:type="dxa"/>
            <w:bottom w:w="0" w:type="dxa"/>
            <w:right w:w="108" w:type="dxa"/>
          </w:tblCellMar>
        </w:tblPrEx>
        <w:trPr>
          <w:trHeight w:val="375"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24</w:t>
            </w:r>
          </w:p>
        </w:tc>
        <w:tc>
          <w:tcPr>
            <w:tcW w:w="684" w:type="dxa"/>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18"/>
                <w:szCs w:val="18"/>
              </w:rPr>
            </w:pPr>
            <w:r>
              <w:rPr>
                <w:rFonts w:hint="eastAsia"/>
                <w:sz w:val="18"/>
                <w:szCs w:val="18"/>
              </w:rPr>
              <w:t>体育   武术类</w:t>
            </w:r>
          </w:p>
        </w:tc>
        <w:tc>
          <w:tcPr>
            <w:tcW w:w="181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恒毅武术社</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55</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2008年</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何舒畅</w:t>
            </w:r>
          </w:p>
        </w:tc>
        <w:tc>
          <w:tcPr>
            <w:tcW w:w="1276"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13695133552</w:t>
            </w:r>
          </w:p>
        </w:tc>
        <w:tc>
          <w:tcPr>
            <w:tcW w:w="851"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陈家欢</w:t>
            </w:r>
          </w:p>
        </w:tc>
        <w:tc>
          <w:tcPr>
            <w:tcW w:w="1559"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13580175131</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思齐楼104社室门口</w:t>
            </w:r>
          </w:p>
        </w:tc>
        <w:tc>
          <w:tcPr>
            <w:tcW w:w="1658" w:type="dxa"/>
            <w:tcBorders>
              <w:top w:val="nil"/>
              <w:left w:val="nil"/>
              <w:bottom w:val="single" w:color="auto" w:sz="4" w:space="0"/>
              <w:right w:val="single" w:color="auto" w:sz="4" w:space="0"/>
            </w:tcBorders>
            <w:vAlign w:val="bottom"/>
          </w:tcPr>
          <w:p>
            <w:pPr>
              <w:ind w:firstLine="0" w:firstLineChars="0"/>
              <w:jc w:val="center"/>
              <w:rPr>
                <w:sz w:val="18"/>
                <w:szCs w:val="18"/>
              </w:rPr>
            </w:pPr>
            <w:r>
              <w:rPr>
                <w:rFonts w:hint="eastAsia"/>
                <w:sz w:val="18"/>
                <w:szCs w:val="18"/>
              </w:rPr>
              <w:t>　</w:t>
            </w:r>
          </w:p>
        </w:tc>
      </w:tr>
      <w:tr>
        <w:tblPrEx>
          <w:tblCellMar>
            <w:top w:w="0" w:type="dxa"/>
            <w:left w:w="108" w:type="dxa"/>
            <w:bottom w:w="0" w:type="dxa"/>
            <w:right w:w="108" w:type="dxa"/>
          </w:tblCellMar>
        </w:tblPrEx>
        <w:trPr>
          <w:trHeight w:val="375"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25</w:t>
            </w:r>
          </w:p>
        </w:tc>
        <w:tc>
          <w:tcPr>
            <w:tcW w:w="684" w:type="dxa"/>
            <w:vMerge w:val="continue"/>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p>
        </w:tc>
        <w:tc>
          <w:tcPr>
            <w:tcW w:w="181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望晓羽毛球队</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37</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2014年</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吴曼榕</w:t>
            </w:r>
          </w:p>
        </w:tc>
        <w:tc>
          <w:tcPr>
            <w:tcW w:w="1276"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13430053302</w:t>
            </w:r>
          </w:p>
        </w:tc>
        <w:tc>
          <w:tcPr>
            <w:tcW w:w="851"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王瑞琪</w:t>
            </w:r>
          </w:p>
        </w:tc>
        <w:tc>
          <w:tcPr>
            <w:tcW w:w="1559"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15766123286</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博识楼1楼羽毛球场</w:t>
            </w:r>
          </w:p>
        </w:tc>
        <w:tc>
          <w:tcPr>
            <w:tcW w:w="1658" w:type="dxa"/>
            <w:tcBorders>
              <w:top w:val="nil"/>
              <w:left w:val="nil"/>
              <w:bottom w:val="single" w:color="auto" w:sz="4" w:space="0"/>
              <w:right w:val="single" w:color="auto" w:sz="4" w:space="0"/>
            </w:tcBorders>
            <w:vAlign w:val="bottom"/>
          </w:tcPr>
          <w:p>
            <w:pPr>
              <w:ind w:firstLine="0" w:firstLineChars="0"/>
              <w:jc w:val="center"/>
              <w:rPr>
                <w:sz w:val="18"/>
                <w:szCs w:val="18"/>
              </w:rPr>
            </w:pPr>
            <w:r>
              <w:rPr>
                <w:rFonts w:hint="eastAsia"/>
                <w:sz w:val="18"/>
                <w:szCs w:val="18"/>
              </w:rPr>
              <w:t>　</w:t>
            </w:r>
          </w:p>
        </w:tc>
      </w:tr>
      <w:tr>
        <w:tblPrEx>
          <w:tblCellMar>
            <w:top w:w="0" w:type="dxa"/>
            <w:left w:w="108" w:type="dxa"/>
            <w:bottom w:w="0" w:type="dxa"/>
            <w:right w:w="108" w:type="dxa"/>
          </w:tblCellMar>
        </w:tblPrEx>
        <w:trPr>
          <w:trHeight w:val="375"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26</w:t>
            </w:r>
          </w:p>
        </w:tc>
        <w:tc>
          <w:tcPr>
            <w:tcW w:w="684" w:type="dxa"/>
            <w:vMerge w:val="continue"/>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p>
        </w:tc>
        <w:tc>
          <w:tcPr>
            <w:tcW w:w="181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灌风篮球社</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2015年</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高智</w:t>
            </w:r>
          </w:p>
        </w:tc>
        <w:tc>
          <w:tcPr>
            <w:tcW w:w="1276"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13580165078</w:t>
            </w:r>
          </w:p>
        </w:tc>
        <w:tc>
          <w:tcPr>
            <w:tcW w:w="851"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陈业增</w:t>
            </w:r>
          </w:p>
        </w:tc>
        <w:tc>
          <w:tcPr>
            <w:tcW w:w="1559"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15521941315</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篮球场</w:t>
            </w:r>
          </w:p>
        </w:tc>
        <w:tc>
          <w:tcPr>
            <w:tcW w:w="1658" w:type="dxa"/>
            <w:tcBorders>
              <w:top w:val="nil"/>
              <w:left w:val="nil"/>
              <w:bottom w:val="single" w:color="auto" w:sz="4" w:space="0"/>
              <w:right w:val="single" w:color="auto" w:sz="4" w:space="0"/>
            </w:tcBorders>
            <w:vAlign w:val="bottom"/>
          </w:tcPr>
          <w:p>
            <w:pPr>
              <w:ind w:firstLine="0" w:firstLineChars="0"/>
              <w:jc w:val="center"/>
              <w:rPr>
                <w:sz w:val="18"/>
                <w:szCs w:val="18"/>
              </w:rPr>
            </w:pPr>
            <w:r>
              <w:rPr>
                <w:rFonts w:hint="eastAsia"/>
                <w:sz w:val="18"/>
                <w:szCs w:val="18"/>
              </w:rPr>
              <w:t>　</w:t>
            </w:r>
          </w:p>
        </w:tc>
      </w:tr>
      <w:tr>
        <w:tblPrEx>
          <w:tblCellMar>
            <w:top w:w="0" w:type="dxa"/>
            <w:left w:w="108" w:type="dxa"/>
            <w:bottom w:w="0" w:type="dxa"/>
            <w:right w:w="108" w:type="dxa"/>
          </w:tblCellMar>
        </w:tblPrEx>
        <w:trPr>
          <w:trHeight w:val="375"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27</w:t>
            </w:r>
          </w:p>
        </w:tc>
        <w:tc>
          <w:tcPr>
            <w:tcW w:w="684" w:type="dxa"/>
            <w:vMerge w:val="continue"/>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p>
        </w:tc>
        <w:tc>
          <w:tcPr>
            <w:tcW w:w="181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望晓乒乓球社</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2016年</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刘洁纯</w:t>
            </w:r>
          </w:p>
        </w:tc>
        <w:tc>
          <w:tcPr>
            <w:tcW w:w="1276"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13414815275</w:t>
            </w:r>
          </w:p>
        </w:tc>
        <w:tc>
          <w:tcPr>
            <w:tcW w:w="851"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林锐峰</w:t>
            </w:r>
          </w:p>
        </w:tc>
        <w:tc>
          <w:tcPr>
            <w:tcW w:w="1559"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18318043542</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　行知楼1楼</w:t>
            </w:r>
          </w:p>
        </w:tc>
        <w:tc>
          <w:tcPr>
            <w:tcW w:w="1658" w:type="dxa"/>
            <w:tcBorders>
              <w:top w:val="nil"/>
              <w:left w:val="nil"/>
              <w:bottom w:val="single" w:color="auto" w:sz="4" w:space="0"/>
              <w:right w:val="single" w:color="auto" w:sz="4" w:space="0"/>
            </w:tcBorders>
            <w:vAlign w:val="bottom"/>
          </w:tcPr>
          <w:p>
            <w:pPr>
              <w:ind w:firstLine="0" w:firstLineChars="0"/>
              <w:jc w:val="center"/>
              <w:rPr>
                <w:sz w:val="18"/>
                <w:szCs w:val="18"/>
              </w:rPr>
            </w:pPr>
          </w:p>
        </w:tc>
      </w:tr>
      <w:tr>
        <w:tblPrEx>
          <w:tblCellMar>
            <w:top w:w="0" w:type="dxa"/>
            <w:left w:w="108" w:type="dxa"/>
            <w:bottom w:w="0" w:type="dxa"/>
            <w:right w:w="108" w:type="dxa"/>
          </w:tblCellMar>
        </w:tblPrEx>
        <w:trPr>
          <w:trHeight w:val="375"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28</w:t>
            </w:r>
          </w:p>
        </w:tc>
        <w:tc>
          <w:tcPr>
            <w:tcW w:w="684" w:type="dxa"/>
            <w:vMerge w:val="continue"/>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p>
        </w:tc>
        <w:tc>
          <w:tcPr>
            <w:tcW w:w="181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禅武龙狮社</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36</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2018年</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何舒畅</w:t>
            </w:r>
          </w:p>
        </w:tc>
        <w:tc>
          <w:tcPr>
            <w:tcW w:w="1276"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13695133552</w:t>
            </w:r>
          </w:p>
        </w:tc>
        <w:tc>
          <w:tcPr>
            <w:tcW w:w="851"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刘耿</w:t>
            </w:r>
          </w:p>
        </w:tc>
        <w:tc>
          <w:tcPr>
            <w:tcW w:w="1559"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15521940135</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操场　</w:t>
            </w:r>
          </w:p>
        </w:tc>
        <w:tc>
          <w:tcPr>
            <w:tcW w:w="1658" w:type="dxa"/>
            <w:tcBorders>
              <w:top w:val="nil"/>
              <w:left w:val="nil"/>
              <w:bottom w:val="single" w:color="auto" w:sz="4" w:space="0"/>
              <w:right w:val="single" w:color="auto" w:sz="4" w:space="0"/>
            </w:tcBorders>
            <w:vAlign w:val="bottom"/>
          </w:tcPr>
          <w:p>
            <w:pPr>
              <w:ind w:firstLine="0" w:firstLineChars="0"/>
              <w:jc w:val="center"/>
              <w:rPr>
                <w:sz w:val="18"/>
                <w:szCs w:val="18"/>
              </w:rPr>
            </w:pPr>
          </w:p>
        </w:tc>
      </w:tr>
      <w:tr>
        <w:tblPrEx>
          <w:tblCellMar>
            <w:top w:w="0" w:type="dxa"/>
            <w:left w:w="108" w:type="dxa"/>
            <w:bottom w:w="0" w:type="dxa"/>
            <w:right w:w="108" w:type="dxa"/>
          </w:tblCellMar>
        </w:tblPrEx>
        <w:trPr>
          <w:trHeight w:val="375"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29</w:t>
            </w:r>
          </w:p>
        </w:tc>
        <w:tc>
          <w:tcPr>
            <w:tcW w:w="684" w:type="dxa"/>
            <w:vMerge w:val="continue"/>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p>
        </w:tc>
        <w:tc>
          <w:tcPr>
            <w:tcW w:w="181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火翎毽子社</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2018年</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吴曼榕</w:t>
            </w:r>
          </w:p>
        </w:tc>
        <w:tc>
          <w:tcPr>
            <w:tcW w:w="1276"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13430053302</w:t>
            </w:r>
          </w:p>
        </w:tc>
        <w:tc>
          <w:tcPr>
            <w:tcW w:w="851"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刘泽兵</w:t>
            </w:r>
          </w:p>
        </w:tc>
        <w:tc>
          <w:tcPr>
            <w:tcW w:w="1559"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18318148041</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计算机部楼下</w:t>
            </w:r>
          </w:p>
        </w:tc>
        <w:tc>
          <w:tcPr>
            <w:tcW w:w="1658" w:type="dxa"/>
            <w:tcBorders>
              <w:top w:val="nil"/>
              <w:left w:val="nil"/>
              <w:bottom w:val="single" w:color="auto" w:sz="4" w:space="0"/>
              <w:right w:val="single" w:color="auto" w:sz="4" w:space="0"/>
            </w:tcBorders>
            <w:vAlign w:val="bottom"/>
          </w:tcPr>
          <w:p>
            <w:pPr>
              <w:ind w:firstLine="0" w:firstLineChars="0"/>
              <w:jc w:val="center"/>
              <w:rPr>
                <w:sz w:val="18"/>
                <w:szCs w:val="18"/>
              </w:rPr>
            </w:pPr>
          </w:p>
        </w:tc>
      </w:tr>
      <w:tr>
        <w:tblPrEx>
          <w:tblCellMar>
            <w:top w:w="0" w:type="dxa"/>
            <w:left w:w="108" w:type="dxa"/>
            <w:bottom w:w="0" w:type="dxa"/>
            <w:right w:w="108" w:type="dxa"/>
          </w:tblCellMar>
        </w:tblPrEx>
        <w:trPr>
          <w:trHeight w:val="375"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30</w:t>
            </w:r>
          </w:p>
        </w:tc>
        <w:tc>
          <w:tcPr>
            <w:tcW w:w="684" w:type="dxa"/>
            <w:vMerge w:val="continue"/>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p>
        </w:tc>
        <w:tc>
          <w:tcPr>
            <w:tcW w:w="181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足球社</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22</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2018年</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谢晓佳</w:t>
            </w:r>
          </w:p>
        </w:tc>
        <w:tc>
          <w:tcPr>
            <w:tcW w:w="1276"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13060581022</w:t>
            </w:r>
          </w:p>
        </w:tc>
        <w:tc>
          <w:tcPr>
            <w:tcW w:w="851"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黄思超</w:t>
            </w:r>
          </w:p>
        </w:tc>
        <w:tc>
          <w:tcPr>
            <w:tcW w:w="1559"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13226187114</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操场</w:t>
            </w:r>
          </w:p>
        </w:tc>
        <w:tc>
          <w:tcPr>
            <w:tcW w:w="1658" w:type="dxa"/>
            <w:tcBorders>
              <w:top w:val="nil"/>
              <w:left w:val="nil"/>
              <w:bottom w:val="single" w:color="auto" w:sz="4" w:space="0"/>
              <w:right w:val="single" w:color="auto" w:sz="4" w:space="0"/>
            </w:tcBorders>
            <w:vAlign w:val="bottom"/>
          </w:tcPr>
          <w:p>
            <w:pPr>
              <w:ind w:firstLine="0" w:firstLineChars="0"/>
              <w:jc w:val="center"/>
              <w:rPr>
                <w:sz w:val="18"/>
                <w:szCs w:val="18"/>
              </w:rPr>
            </w:pPr>
          </w:p>
        </w:tc>
      </w:tr>
      <w:tr>
        <w:tblPrEx>
          <w:tblCellMar>
            <w:top w:w="0" w:type="dxa"/>
            <w:left w:w="108" w:type="dxa"/>
            <w:bottom w:w="0" w:type="dxa"/>
            <w:right w:w="108" w:type="dxa"/>
          </w:tblCellMar>
        </w:tblPrEx>
        <w:trPr>
          <w:trHeight w:val="375"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31</w:t>
            </w:r>
          </w:p>
        </w:tc>
        <w:tc>
          <w:tcPr>
            <w:tcW w:w="684" w:type="dxa"/>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兴趣爱好小组</w:t>
            </w:r>
          </w:p>
        </w:tc>
        <w:tc>
          <w:tcPr>
            <w:tcW w:w="181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法律沙龙小组</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2018年</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林壁芬</w:t>
            </w:r>
          </w:p>
        </w:tc>
        <w:tc>
          <w:tcPr>
            <w:tcW w:w="1276"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18718605200</w:t>
            </w:r>
          </w:p>
        </w:tc>
        <w:tc>
          <w:tcPr>
            <w:tcW w:w="851"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林雪妍</w:t>
            </w:r>
          </w:p>
        </w:tc>
        <w:tc>
          <w:tcPr>
            <w:tcW w:w="1559"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17827518881</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机电部103</w:t>
            </w:r>
          </w:p>
        </w:tc>
        <w:tc>
          <w:tcPr>
            <w:tcW w:w="1658" w:type="dxa"/>
            <w:tcBorders>
              <w:top w:val="nil"/>
              <w:left w:val="nil"/>
              <w:bottom w:val="single" w:color="auto" w:sz="4" w:space="0"/>
              <w:right w:val="single" w:color="auto" w:sz="4" w:space="0"/>
            </w:tcBorders>
            <w:vAlign w:val="bottom"/>
          </w:tcPr>
          <w:p>
            <w:pPr>
              <w:ind w:firstLine="0" w:firstLineChars="0"/>
              <w:jc w:val="center"/>
              <w:rPr>
                <w:sz w:val="18"/>
                <w:szCs w:val="18"/>
              </w:rPr>
            </w:pPr>
          </w:p>
        </w:tc>
      </w:tr>
      <w:tr>
        <w:tblPrEx>
          <w:tblCellMar>
            <w:top w:w="0" w:type="dxa"/>
            <w:left w:w="108" w:type="dxa"/>
            <w:bottom w:w="0" w:type="dxa"/>
            <w:right w:w="108" w:type="dxa"/>
          </w:tblCellMar>
        </w:tblPrEx>
        <w:trPr>
          <w:trHeight w:val="375"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32</w:t>
            </w:r>
          </w:p>
        </w:tc>
        <w:tc>
          <w:tcPr>
            <w:tcW w:w="684" w:type="dxa"/>
            <w:vMerge w:val="continue"/>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p>
        </w:tc>
        <w:tc>
          <w:tcPr>
            <w:tcW w:w="181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美妆兴趣小组</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38</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2018年</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林洁珠</w:t>
            </w:r>
          </w:p>
        </w:tc>
        <w:tc>
          <w:tcPr>
            <w:tcW w:w="1276"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13380581943</w:t>
            </w:r>
          </w:p>
        </w:tc>
        <w:tc>
          <w:tcPr>
            <w:tcW w:w="851"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袁奕珊</w:t>
            </w:r>
          </w:p>
        </w:tc>
        <w:tc>
          <w:tcPr>
            <w:tcW w:w="1559"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13640364256</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明德楼502</w:t>
            </w:r>
          </w:p>
        </w:tc>
        <w:tc>
          <w:tcPr>
            <w:tcW w:w="1658" w:type="dxa"/>
            <w:tcBorders>
              <w:top w:val="nil"/>
              <w:left w:val="nil"/>
              <w:bottom w:val="single" w:color="auto" w:sz="4" w:space="0"/>
              <w:right w:val="single" w:color="auto" w:sz="4" w:space="0"/>
            </w:tcBorders>
            <w:vAlign w:val="bottom"/>
          </w:tcPr>
          <w:p>
            <w:pPr>
              <w:ind w:firstLine="0" w:firstLineChars="0"/>
              <w:jc w:val="center"/>
              <w:rPr>
                <w:sz w:val="18"/>
                <w:szCs w:val="18"/>
              </w:rPr>
            </w:pPr>
          </w:p>
        </w:tc>
      </w:tr>
      <w:tr>
        <w:tblPrEx>
          <w:tblCellMar>
            <w:top w:w="0" w:type="dxa"/>
            <w:left w:w="108" w:type="dxa"/>
            <w:bottom w:w="0" w:type="dxa"/>
            <w:right w:w="108" w:type="dxa"/>
          </w:tblCellMar>
        </w:tblPrEx>
        <w:trPr>
          <w:trHeight w:val="375" w:hRule="atLeast"/>
        </w:trPr>
        <w:tc>
          <w:tcPr>
            <w:tcW w:w="440" w:type="dxa"/>
            <w:tcBorders>
              <w:top w:val="nil"/>
              <w:left w:val="single" w:color="auto" w:sz="4" w:space="0"/>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33</w:t>
            </w:r>
          </w:p>
        </w:tc>
        <w:tc>
          <w:tcPr>
            <w:tcW w:w="684" w:type="dxa"/>
            <w:vMerge w:val="continue"/>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p>
        </w:tc>
        <w:tc>
          <w:tcPr>
            <w:tcW w:w="181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跆空兴趣小组</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36</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2018年</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何舒畅</w:t>
            </w:r>
          </w:p>
        </w:tc>
        <w:tc>
          <w:tcPr>
            <w:tcW w:w="1276"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13695133552</w:t>
            </w:r>
          </w:p>
        </w:tc>
        <w:tc>
          <w:tcPr>
            <w:tcW w:w="851"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林钊颖</w:t>
            </w:r>
          </w:p>
        </w:tc>
        <w:tc>
          <w:tcPr>
            <w:tcW w:w="1559"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13430084061</w:t>
            </w:r>
          </w:p>
        </w:tc>
        <w:tc>
          <w:tcPr>
            <w:tcW w:w="1989" w:type="dxa"/>
            <w:tcBorders>
              <w:top w:val="nil"/>
              <w:left w:val="nil"/>
              <w:bottom w:val="single" w:color="auto" w:sz="4" w:space="0"/>
              <w:right w:val="single" w:color="auto" w:sz="4" w:space="0"/>
            </w:tcBorders>
            <w:noWrap/>
            <w:vAlign w:val="center"/>
          </w:tcPr>
          <w:p>
            <w:pPr>
              <w:ind w:firstLine="0" w:firstLineChars="0"/>
              <w:jc w:val="center"/>
              <w:rPr>
                <w:sz w:val="18"/>
                <w:szCs w:val="18"/>
              </w:rPr>
            </w:pPr>
            <w:r>
              <w:rPr>
                <w:rFonts w:hint="eastAsia"/>
                <w:sz w:val="18"/>
                <w:szCs w:val="18"/>
              </w:rPr>
              <w:t>行知楼三楼</w:t>
            </w:r>
          </w:p>
        </w:tc>
        <w:tc>
          <w:tcPr>
            <w:tcW w:w="1658" w:type="dxa"/>
            <w:tcBorders>
              <w:top w:val="nil"/>
              <w:left w:val="nil"/>
              <w:bottom w:val="single" w:color="auto" w:sz="4" w:space="0"/>
              <w:right w:val="single" w:color="auto" w:sz="4" w:space="0"/>
            </w:tcBorders>
            <w:vAlign w:val="bottom"/>
          </w:tcPr>
          <w:p>
            <w:pPr>
              <w:ind w:firstLine="0" w:firstLineChars="0"/>
              <w:jc w:val="center"/>
              <w:rPr>
                <w:sz w:val="18"/>
                <w:szCs w:val="18"/>
              </w:rPr>
            </w:pPr>
          </w:p>
        </w:tc>
      </w:tr>
    </w:tbl>
    <w:p>
      <w:pPr>
        <w:widowControl/>
        <w:ind w:firstLine="480"/>
        <w:jc w:val="center"/>
        <w:rPr>
          <w:rFonts w:ascii="仿宋_GB2312" w:hAnsi="Courier New" w:eastAsia="仿宋_GB2312"/>
        </w:rPr>
        <w:sectPr>
          <w:headerReference r:id="rId11" w:type="first"/>
          <w:footerReference r:id="rId14" w:type="first"/>
          <w:headerReference r:id="rId9" w:type="default"/>
          <w:footerReference r:id="rId12" w:type="default"/>
          <w:headerReference r:id="rId10" w:type="even"/>
          <w:footerReference r:id="rId13" w:type="even"/>
          <w:pgSz w:w="16838" w:h="11906" w:orient="landscape"/>
          <w:pgMar w:top="426" w:right="1440" w:bottom="142" w:left="1440" w:header="851" w:footer="992" w:gutter="0"/>
          <w:cols w:space="720" w:num="1"/>
          <w:docGrid w:type="linesAndChars" w:linePitch="326" w:charSpace="0"/>
        </w:sectPr>
      </w:pPr>
    </w:p>
    <w:p>
      <w:pPr>
        <w:widowControl/>
        <w:ind w:firstLine="0" w:firstLineChars="0"/>
        <w:jc w:val="center"/>
        <w:rPr>
          <w:rFonts w:ascii="仿宋_GB2312" w:hAnsi="Courier New" w:eastAsia="仿宋_GB2312"/>
        </w:rPr>
      </w:pPr>
      <w:r>
        <w:rPr>
          <w:rFonts w:ascii="仿宋_GB2312" w:hAnsi="Courier New" w:eastAsia="仿宋_GB2312"/>
        </w:rPr>
        <w:drawing>
          <wp:inline distT="0" distB="0" distL="114300" distR="114300">
            <wp:extent cx="5575300" cy="3722370"/>
            <wp:effectExtent l="0" t="0" r="6350" b="11430"/>
            <wp:docPr id="19" name="图片 12" descr="640.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640.webp.jpg"/>
                    <pic:cNvPicPr>
                      <a:picLocks noChangeAspect="1"/>
                    </pic:cNvPicPr>
                  </pic:nvPicPr>
                  <pic:blipFill>
                    <a:blip r:embed="rId26"/>
                    <a:stretch>
                      <a:fillRect/>
                    </a:stretch>
                  </pic:blipFill>
                  <pic:spPr>
                    <a:xfrm>
                      <a:off x="0" y="0"/>
                      <a:ext cx="5575300" cy="3722370"/>
                    </a:xfrm>
                    <a:prstGeom prst="rect">
                      <a:avLst/>
                    </a:prstGeom>
                    <a:noFill/>
                    <a:ln>
                      <a:noFill/>
                    </a:ln>
                  </pic:spPr>
                </pic:pic>
              </a:graphicData>
            </a:graphic>
          </wp:inline>
        </w:drawing>
      </w:r>
    </w:p>
    <w:p>
      <w:pPr>
        <w:widowControl/>
        <w:ind w:firstLine="480"/>
        <w:jc w:val="center"/>
        <w:rPr>
          <w:rFonts w:ascii="仿宋_GB2312" w:hAnsi="Courier New" w:eastAsia="仿宋_GB2312"/>
        </w:rPr>
      </w:pPr>
      <w:r>
        <w:rPr>
          <w:rFonts w:hint="eastAsia" w:ascii="仿宋_GB2312" w:hAnsi="Courier New" w:eastAsia="仿宋_GB2312"/>
        </w:rPr>
        <w:t>图2.1-1社团招新活动1</w:t>
      </w:r>
    </w:p>
    <w:p>
      <w:pPr>
        <w:widowControl/>
        <w:ind w:firstLine="0" w:firstLineChars="0"/>
        <w:jc w:val="center"/>
        <w:rPr>
          <w:rFonts w:ascii="仿宋_GB2312" w:hAnsi="Courier New" w:eastAsia="仿宋_GB2312"/>
        </w:rPr>
      </w:pPr>
      <w:r>
        <w:rPr>
          <w:rFonts w:ascii="仿宋_GB2312" w:hAnsi="Courier New" w:eastAsia="仿宋_GB2312"/>
        </w:rPr>
        <w:drawing>
          <wp:inline distT="0" distB="0" distL="114300" distR="114300">
            <wp:extent cx="5380355" cy="3591560"/>
            <wp:effectExtent l="0" t="0" r="10795" b="8890"/>
            <wp:docPr id="23" name="图片 13" descr="640.web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640.webp (1).jpg"/>
                    <pic:cNvPicPr>
                      <a:picLocks noChangeAspect="1"/>
                    </pic:cNvPicPr>
                  </pic:nvPicPr>
                  <pic:blipFill>
                    <a:blip r:embed="rId27"/>
                    <a:stretch>
                      <a:fillRect/>
                    </a:stretch>
                  </pic:blipFill>
                  <pic:spPr>
                    <a:xfrm>
                      <a:off x="0" y="0"/>
                      <a:ext cx="5380355" cy="3591560"/>
                    </a:xfrm>
                    <a:prstGeom prst="rect">
                      <a:avLst/>
                    </a:prstGeom>
                    <a:noFill/>
                    <a:ln>
                      <a:noFill/>
                    </a:ln>
                  </pic:spPr>
                </pic:pic>
              </a:graphicData>
            </a:graphic>
          </wp:inline>
        </w:drawing>
      </w:r>
    </w:p>
    <w:p>
      <w:pPr>
        <w:widowControl/>
        <w:ind w:firstLine="480"/>
        <w:jc w:val="center"/>
        <w:rPr>
          <w:rFonts w:ascii="仿宋_GB2312" w:hAnsi="Courier New" w:eastAsia="仿宋_GB2312"/>
        </w:rPr>
      </w:pPr>
      <w:r>
        <w:rPr>
          <w:rFonts w:hint="eastAsia" w:ascii="仿宋_GB2312" w:hAnsi="Courier New" w:eastAsia="仿宋_GB2312"/>
        </w:rPr>
        <w:t>图2.1-2社团招新活动2</w:t>
      </w:r>
    </w:p>
    <w:p>
      <w:pPr>
        <w:widowControl/>
        <w:ind w:firstLine="0" w:firstLineChars="0"/>
        <w:jc w:val="center"/>
        <w:rPr>
          <w:rFonts w:ascii="仿宋_GB2312" w:hAnsi="Courier New" w:eastAsia="仿宋_GB2312"/>
        </w:rPr>
      </w:pPr>
    </w:p>
    <w:p>
      <w:pPr>
        <w:widowControl/>
        <w:ind w:firstLine="0" w:firstLineChars="0"/>
        <w:jc w:val="center"/>
        <w:rPr>
          <w:rFonts w:ascii="仿宋_GB2312" w:hAnsi="Courier New" w:eastAsia="仿宋_GB2312"/>
        </w:rPr>
      </w:pPr>
      <w:r>
        <w:rPr>
          <w:rFonts w:hint="eastAsia" w:ascii="宋体" w:hAnsi="宋体" w:cs="宋体"/>
          <w:sz w:val="32"/>
          <w:szCs w:val="32"/>
        </w:rPr>
        <w:drawing>
          <wp:inline distT="0" distB="0" distL="114300" distR="114300">
            <wp:extent cx="6537325" cy="4345305"/>
            <wp:effectExtent l="0" t="0" r="15875" b="17145"/>
            <wp:docPr id="18" name="图片 14" descr="爱心捐衣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爱心捐衣3"/>
                    <pic:cNvPicPr>
                      <a:picLocks noChangeAspect="1"/>
                    </pic:cNvPicPr>
                  </pic:nvPicPr>
                  <pic:blipFill>
                    <a:blip r:embed="rId28"/>
                    <a:stretch>
                      <a:fillRect/>
                    </a:stretch>
                  </pic:blipFill>
                  <pic:spPr>
                    <a:xfrm>
                      <a:off x="0" y="0"/>
                      <a:ext cx="6537325" cy="4345305"/>
                    </a:xfrm>
                    <a:prstGeom prst="rect">
                      <a:avLst/>
                    </a:prstGeom>
                    <a:noFill/>
                    <a:ln>
                      <a:noFill/>
                    </a:ln>
                  </pic:spPr>
                </pic:pic>
              </a:graphicData>
            </a:graphic>
          </wp:inline>
        </w:drawing>
      </w:r>
    </w:p>
    <w:p>
      <w:pPr>
        <w:widowControl/>
        <w:ind w:firstLine="480"/>
        <w:jc w:val="center"/>
        <w:rPr>
          <w:rFonts w:ascii="仿宋_GB2312" w:hAnsi="Courier New" w:eastAsia="仿宋_GB2312"/>
        </w:rPr>
      </w:pPr>
      <w:r>
        <w:rPr>
          <w:rFonts w:hint="eastAsia" w:ascii="仿宋_GB2312" w:hAnsi="Courier New" w:eastAsia="仿宋_GB2312"/>
        </w:rPr>
        <w:t>图2.1-3志愿者服务队为贫困地区发动捐衣活动1</w:t>
      </w:r>
    </w:p>
    <w:p>
      <w:pPr>
        <w:widowControl/>
        <w:ind w:firstLine="0" w:firstLineChars="0"/>
        <w:jc w:val="center"/>
        <w:rPr>
          <w:rFonts w:ascii="仿宋_GB2312" w:hAnsi="Courier New" w:eastAsia="仿宋_GB2312"/>
        </w:rPr>
      </w:pPr>
      <w:r>
        <w:rPr>
          <w:rFonts w:ascii="仿宋_GB2312" w:hAnsi="Courier New" w:eastAsia="仿宋_GB2312"/>
        </w:rPr>
        <w:drawing>
          <wp:inline distT="0" distB="0" distL="114300" distR="114300">
            <wp:extent cx="5334000" cy="3552825"/>
            <wp:effectExtent l="0" t="0" r="0" b="9525"/>
            <wp:docPr id="20" name="图片 15" descr="https://mmbiz.qlogo.cn/mmbiz_jpg/RoVTKlz4votARfice3V5UvgRA39a1OGocyf6WBQlIhic3nn5gxhUX0wezUJTVNjmJuymKhrWajSpv4CIoyTiak79A/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https://mmbiz.qlogo.cn/mmbiz_jpg/RoVTKlz4votARfice3V5UvgRA39a1OGocyf6WBQlIhic3nn5gxhUX0wezUJTVNjmJuymKhrWajSpv4CIoyTiak79A/0?wx_fmt=jpeg"/>
                    <pic:cNvPicPr>
                      <a:picLocks noChangeAspect="1"/>
                    </pic:cNvPicPr>
                  </pic:nvPicPr>
                  <pic:blipFill>
                    <a:blip r:embed="rId29"/>
                    <a:stretch>
                      <a:fillRect/>
                    </a:stretch>
                  </pic:blipFill>
                  <pic:spPr>
                    <a:xfrm>
                      <a:off x="0" y="0"/>
                      <a:ext cx="5334000" cy="3552825"/>
                    </a:xfrm>
                    <a:prstGeom prst="rect">
                      <a:avLst/>
                    </a:prstGeom>
                    <a:noFill/>
                    <a:ln>
                      <a:noFill/>
                    </a:ln>
                  </pic:spPr>
                </pic:pic>
              </a:graphicData>
            </a:graphic>
          </wp:inline>
        </w:drawing>
      </w:r>
    </w:p>
    <w:p>
      <w:pPr>
        <w:widowControl/>
        <w:ind w:firstLine="480"/>
        <w:jc w:val="center"/>
        <w:rPr>
          <w:rFonts w:ascii="仿宋_GB2312" w:hAnsi="Courier New" w:eastAsia="仿宋_GB2312"/>
        </w:rPr>
      </w:pPr>
      <w:r>
        <w:rPr>
          <w:rFonts w:hint="eastAsia" w:ascii="仿宋_GB2312" w:hAnsi="Courier New" w:eastAsia="仿宋_GB2312"/>
        </w:rPr>
        <w:t>图2.1-4社团风采礼仪社活动2</w:t>
      </w:r>
    </w:p>
    <w:p>
      <w:pPr>
        <w:widowControl/>
        <w:ind w:firstLine="0" w:firstLineChars="0"/>
        <w:jc w:val="center"/>
        <w:rPr>
          <w:rFonts w:ascii="仿宋_GB2312" w:hAnsi="Courier New" w:eastAsia="仿宋_GB2312"/>
        </w:rPr>
      </w:pPr>
      <w:r>
        <w:rPr>
          <w:rFonts w:ascii="仿宋_GB2312" w:hAnsi="Courier New" w:eastAsia="仿宋_GB2312"/>
        </w:rPr>
        <w:drawing>
          <wp:inline distT="0" distB="0" distL="114300" distR="114300">
            <wp:extent cx="6183630" cy="4119245"/>
            <wp:effectExtent l="0" t="0" r="7620" b="14605"/>
            <wp:docPr id="24" name="图片 16" descr="https://mmbiz.qlogo.cn/mmbiz_jpg/RoVTKlz4votARfice3V5UvgRA39a1OGockrbpvjbGzKKT7JCTYJqK3J25RAgqPvI1BUCvhL1iaZHYkicdrpkbzncg/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descr="https://mmbiz.qlogo.cn/mmbiz_jpg/RoVTKlz4votARfice3V5UvgRA39a1OGockrbpvjbGzKKT7JCTYJqK3J25RAgqPvI1BUCvhL1iaZHYkicdrpkbzncg/0?wx_fmt=jpeg"/>
                    <pic:cNvPicPr>
                      <a:picLocks noChangeAspect="1"/>
                    </pic:cNvPicPr>
                  </pic:nvPicPr>
                  <pic:blipFill>
                    <a:blip r:embed="rId30"/>
                    <a:stretch>
                      <a:fillRect/>
                    </a:stretch>
                  </pic:blipFill>
                  <pic:spPr>
                    <a:xfrm>
                      <a:off x="0" y="0"/>
                      <a:ext cx="6183630" cy="4119245"/>
                    </a:xfrm>
                    <a:prstGeom prst="rect">
                      <a:avLst/>
                    </a:prstGeom>
                    <a:noFill/>
                    <a:ln>
                      <a:noFill/>
                    </a:ln>
                  </pic:spPr>
                </pic:pic>
              </a:graphicData>
            </a:graphic>
          </wp:inline>
        </w:drawing>
      </w:r>
    </w:p>
    <w:p>
      <w:pPr>
        <w:widowControl/>
        <w:ind w:firstLine="480"/>
        <w:jc w:val="center"/>
        <w:rPr>
          <w:rFonts w:ascii="仿宋_GB2312" w:hAnsi="Courier New" w:eastAsia="仿宋_GB2312"/>
        </w:rPr>
      </w:pPr>
      <w:r>
        <w:rPr>
          <w:rFonts w:hint="eastAsia" w:ascii="仿宋_GB2312" w:hAnsi="Courier New" w:eastAsia="仿宋_GB2312"/>
        </w:rPr>
        <w:t>图2.1-5街舞社团活动1</w:t>
      </w:r>
    </w:p>
    <w:p>
      <w:pPr>
        <w:widowControl/>
        <w:ind w:firstLine="0" w:firstLineChars="0"/>
        <w:jc w:val="center"/>
        <w:rPr>
          <w:rFonts w:ascii="仿宋_GB2312" w:hAnsi="Courier New" w:eastAsia="仿宋_GB2312"/>
        </w:rPr>
      </w:pPr>
      <w:r>
        <w:rPr>
          <w:rFonts w:ascii="仿宋_GB2312" w:hAnsi="Courier New" w:eastAsia="仿宋_GB2312"/>
        </w:rPr>
        <w:drawing>
          <wp:inline distT="0" distB="0" distL="114300" distR="114300">
            <wp:extent cx="5911850" cy="3935095"/>
            <wp:effectExtent l="0" t="0" r="12700" b="8255"/>
            <wp:docPr id="3" name="图片 17" descr="https://mmbiz.qlogo.cn/mmbiz_jpg/RoVTKlz4votARfice3V5UvgRA39a1OGocQXstEX0d6QHsg3Qt2ADsJt58gqWfxBykOdyq5Ee1n8XvG4qVWiapkXQ/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https://mmbiz.qlogo.cn/mmbiz_jpg/RoVTKlz4votARfice3V5UvgRA39a1OGocQXstEX0d6QHsg3Qt2ADsJt58gqWfxBykOdyq5Ee1n8XvG4qVWiapkXQ/0?wx_fmt=jpeg"/>
                    <pic:cNvPicPr>
                      <a:picLocks noChangeAspect="1"/>
                    </pic:cNvPicPr>
                  </pic:nvPicPr>
                  <pic:blipFill>
                    <a:blip r:embed="rId31"/>
                    <a:stretch>
                      <a:fillRect/>
                    </a:stretch>
                  </pic:blipFill>
                  <pic:spPr>
                    <a:xfrm>
                      <a:off x="0" y="0"/>
                      <a:ext cx="5911850" cy="3935095"/>
                    </a:xfrm>
                    <a:prstGeom prst="rect">
                      <a:avLst/>
                    </a:prstGeom>
                    <a:noFill/>
                    <a:ln>
                      <a:noFill/>
                    </a:ln>
                  </pic:spPr>
                </pic:pic>
              </a:graphicData>
            </a:graphic>
          </wp:inline>
        </w:drawing>
      </w:r>
    </w:p>
    <w:p>
      <w:pPr>
        <w:widowControl/>
        <w:ind w:firstLine="480"/>
        <w:jc w:val="center"/>
        <w:rPr>
          <w:rFonts w:ascii="仿宋_GB2312" w:hAnsi="Courier New" w:eastAsia="仿宋_GB2312"/>
        </w:rPr>
      </w:pPr>
      <w:r>
        <w:rPr>
          <w:rFonts w:hint="eastAsia" w:ascii="仿宋_GB2312" w:hAnsi="Courier New" w:eastAsia="仿宋_GB2312"/>
        </w:rPr>
        <w:t>图2.1-6美术社团活动2</w:t>
      </w:r>
    </w:p>
    <w:p>
      <w:pPr>
        <w:widowControl/>
        <w:ind w:firstLine="480"/>
        <w:jc w:val="center"/>
        <w:rPr>
          <w:rFonts w:ascii="仿宋_GB2312" w:hAnsi="Courier New" w:eastAsia="仿宋_GB2312"/>
        </w:rPr>
        <w:sectPr>
          <w:pgSz w:w="11906" w:h="16838"/>
          <w:pgMar w:top="1440" w:right="1418" w:bottom="1440" w:left="1418" w:header="851" w:footer="992" w:gutter="0"/>
          <w:cols w:space="720" w:num="1"/>
          <w:docGrid w:linePitch="326" w:charSpace="0"/>
        </w:sectPr>
      </w:pPr>
    </w:p>
    <w:p>
      <w:pPr>
        <w:widowControl/>
        <w:ind w:firstLine="0" w:firstLineChars="0"/>
        <w:jc w:val="center"/>
        <w:rPr>
          <w:rFonts w:ascii="仿宋_GB2312" w:hAnsi="Courier New" w:eastAsia="仿宋_GB2312"/>
        </w:rPr>
      </w:pPr>
    </w:p>
    <w:p>
      <w:pPr>
        <w:pStyle w:val="3"/>
      </w:pPr>
      <w:bookmarkStart w:id="55" w:name="_Toc505003773"/>
      <w:bookmarkStart w:id="56" w:name="_Toc29995123"/>
      <w:r>
        <w:rPr>
          <w:rFonts w:hint="eastAsia"/>
        </w:rPr>
        <w:t>2.3资助情况</w:t>
      </w:r>
      <w:bookmarkEnd w:id="55"/>
      <w:bookmarkEnd w:id="56"/>
    </w:p>
    <w:p>
      <w:pPr>
        <w:ind w:firstLine="480"/>
        <w:rPr>
          <w:iCs/>
        </w:rPr>
      </w:pPr>
      <w:r>
        <w:rPr>
          <w:rFonts w:hint="eastAsia"/>
          <w:iCs/>
        </w:rPr>
        <w:t>2018—2019学年度我校共评审和发放国家助学金221人共45.3万元，享受免学费学生2958人共1133.72万元。以下为与2017—2018学年度对比情况图表：</w:t>
      </w:r>
    </w:p>
    <w:p>
      <w:pPr>
        <w:ind w:firstLine="480"/>
        <w:rPr>
          <w:iCs/>
        </w:rPr>
      </w:pPr>
    </w:p>
    <w:p>
      <w:pPr>
        <w:ind w:firstLine="480"/>
        <w:rPr>
          <w:iCs/>
        </w:rPr>
      </w:pPr>
      <w:r>
        <w:drawing>
          <wp:inline distT="0" distB="0" distL="0" distR="0">
            <wp:extent cx="5486400" cy="2978785"/>
            <wp:effectExtent l="0" t="0" r="19050" b="12065"/>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ind w:firstLine="480"/>
      </w:pPr>
    </w:p>
    <w:p>
      <w:pPr>
        <w:ind w:firstLine="562"/>
        <w:rPr>
          <w:rFonts w:ascii="黑体" w:hAnsi="宋体" w:eastAsia="黑体"/>
          <w:b/>
          <w:sz w:val="28"/>
          <w:szCs w:val="28"/>
        </w:rPr>
      </w:pPr>
    </w:p>
    <w:p>
      <w:pPr>
        <w:ind w:firstLine="562"/>
        <w:rPr>
          <w:rFonts w:ascii="黑体" w:hAnsi="宋体" w:eastAsia="黑体"/>
          <w:b/>
          <w:sz w:val="28"/>
          <w:szCs w:val="28"/>
        </w:rPr>
      </w:pPr>
    </w:p>
    <w:p>
      <w:pPr>
        <w:ind w:firstLine="562"/>
        <w:rPr>
          <w:rFonts w:ascii="黑体" w:hAnsi="宋体" w:eastAsia="黑体"/>
          <w:b/>
          <w:sz w:val="28"/>
          <w:szCs w:val="28"/>
        </w:rPr>
      </w:pPr>
    </w:p>
    <w:p>
      <w:pPr>
        <w:ind w:firstLine="562"/>
        <w:rPr>
          <w:rFonts w:ascii="黑体" w:hAnsi="宋体" w:eastAsia="黑体"/>
          <w:b/>
          <w:sz w:val="28"/>
          <w:szCs w:val="28"/>
        </w:rPr>
      </w:pPr>
    </w:p>
    <w:p>
      <w:pPr>
        <w:ind w:firstLine="562"/>
        <w:rPr>
          <w:rFonts w:ascii="黑体" w:hAnsi="宋体" w:eastAsia="黑体"/>
          <w:b/>
          <w:sz w:val="28"/>
          <w:szCs w:val="28"/>
        </w:rPr>
      </w:pPr>
    </w:p>
    <w:p>
      <w:pPr>
        <w:ind w:firstLine="562"/>
        <w:rPr>
          <w:rFonts w:ascii="黑体" w:hAnsi="宋体" w:eastAsia="黑体"/>
          <w:b/>
          <w:sz w:val="28"/>
          <w:szCs w:val="28"/>
        </w:rPr>
      </w:pPr>
    </w:p>
    <w:p>
      <w:pPr>
        <w:ind w:firstLine="562"/>
        <w:rPr>
          <w:rFonts w:ascii="黑体" w:hAnsi="宋体" w:eastAsia="黑体"/>
          <w:b/>
          <w:sz w:val="28"/>
          <w:szCs w:val="28"/>
        </w:rPr>
      </w:pPr>
    </w:p>
    <w:p>
      <w:pPr>
        <w:ind w:firstLine="562"/>
        <w:rPr>
          <w:rFonts w:ascii="黑体" w:hAnsi="宋体" w:eastAsia="黑体"/>
          <w:b/>
          <w:sz w:val="28"/>
          <w:szCs w:val="28"/>
        </w:rPr>
      </w:pPr>
    </w:p>
    <w:p>
      <w:pPr>
        <w:ind w:firstLine="562"/>
        <w:rPr>
          <w:rFonts w:ascii="黑体" w:hAnsi="宋体" w:eastAsia="黑体"/>
          <w:b/>
          <w:sz w:val="28"/>
          <w:szCs w:val="28"/>
        </w:rPr>
      </w:pPr>
    </w:p>
    <w:p>
      <w:pPr>
        <w:ind w:firstLine="562"/>
        <w:rPr>
          <w:rFonts w:ascii="黑体" w:hAnsi="宋体" w:eastAsia="黑体"/>
          <w:b/>
          <w:sz w:val="28"/>
          <w:szCs w:val="28"/>
        </w:rPr>
      </w:pPr>
    </w:p>
    <w:p>
      <w:pPr>
        <w:ind w:firstLine="0" w:firstLineChars="0"/>
        <w:rPr>
          <w:rFonts w:ascii="黑体" w:hAnsi="宋体" w:eastAsia="黑体"/>
          <w:b/>
          <w:sz w:val="28"/>
          <w:szCs w:val="28"/>
        </w:rPr>
        <w:sectPr>
          <w:pgSz w:w="11906" w:h="16838"/>
          <w:pgMar w:top="1440" w:right="1418" w:bottom="1440" w:left="1418" w:header="851" w:footer="992" w:gutter="0"/>
          <w:cols w:space="720" w:num="1"/>
          <w:docGrid w:linePitch="312" w:charSpace="0"/>
        </w:sectPr>
      </w:pPr>
    </w:p>
    <w:p>
      <w:pPr>
        <w:pStyle w:val="3"/>
      </w:pPr>
      <w:bookmarkStart w:id="57" w:name="_Toc29995124"/>
      <w:bookmarkStart w:id="58" w:name="_Toc505003774"/>
      <w:r>
        <w:rPr>
          <w:rFonts w:hint="eastAsia"/>
        </w:rPr>
        <w:t>2.4就业质量</w:t>
      </w:r>
      <w:bookmarkEnd w:id="57"/>
      <w:bookmarkEnd w:id="58"/>
    </w:p>
    <w:p>
      <w:pPr>
        <w:ind w:firstLine="562"/>
        <w:rPr>
          <w:rFonts w:ascii="宋体" w:hAnsi="宋体"/>
          <w:b/>
          <w:sz w:val="28"/>
          <w:szCs w:val="28"/>
        </w:rPr>
      </w:pPr>
      <w:r>
        <w:rPr>
          <w:rFonts w:hint="eastAsia" w:ascii="宋体" w:hAnsi="宋体" w:cs="宋体"/>
          <w:b/>
          <w:kern w:val="0"/>
          <w:sz w:val="28"/>
          <w:szCs w:val="28"/>
        </w:rPr>
        <w:t>2018年毕业生就业情况</w:t>
      </w:r>
    </w:p>
    <w:tbl>
      <w:tblPr>
        <w:tblStyle w:val="14"/>
        <w:tblW w:w="14899" w:type="dxa"/>
        <w:tblInd w:w="-457" w:type="dxa"/>
        <w:tblLayout w:type="fixed"/>
        <w:tblCellMar>
          <w:top w:w="0" w:type="dxa"/>
          <w:left w:w="108" w:type="dxa"/>
          <w:bottom w:w="0" w:type="dxa"/>
          <w:right w:w="108" w:type="dxa"/>
        </w:tblCellMar>
      </w:tblPr>
      <w:tblGrid>
        <w:gridCol w:w="865"/>
        <w:gridCol w:w="1560"/>
        <w:gridCol w:w="2268"/>
        <w:gridCol w:w="1985"/>
        <w:gridCol w:w="1417"/>
        <w:gridCol w:w="1134"/>
        <w:gridCol w:w="1418"/>
        <w:gridCol w:w="1417"/>
        <w:gridCol w:w="1418"/>
        <w:gridCol w:w="1417"/>
      </w:tblGrid>
      <w:tr>
        <w:tblPrEx>
          <w:tblCellMar>
            <w:top w:w="0" w:type="dxa"/>
            <w:left w:w="108" w:type="dxa"/>
            <w:bottom w:w="0" w:type="dxa"/>
            <w:right w:w="108" w:type="dxa"/>
          </w:tblCellMar>
        </w:tblPrEx>
        <w:trPr>
          <w:trHeight w:val="1711" w:hRule="atLeast"/>
        </w:trPr>
        <w:tc>
          <w:tcPr>
            <w:tcW w:w="865" w:type="dxa"/>
            <w:tcBorders>
              <w:top w:val="single" w:color="auto" w:sz="4" w:space="0"/>
              <w:left w:val="single" w:color="auto" w:sz="4" w:space="0"/>
              <w:bottom w:val="single" w:color="auto" w:sz="4" w:space="0"/>
              <w:right w:val="single" w:color="auto" w:sz="4" w:space="0"/>
            </w:tcBorders>
            <w:shd w:val="clear" w:color="000000" w:fill="71DAFF"/>
            <w:vAlign w:val="center"/>
          </w:tcPr>
          <w:p>
            <w:pPr>
              <w:ind w:firstLine="0" w:firstLineChars="0"/>
              <w:jc w:val="center"/>
              <w:rPr>
                <w:sz w:val="18"/>
                <w:szCs w:val="18"/>
              </w:rPr>
            </w:pPr>
            <w:r>
              <w:rPr>
                <w:rFonts w:hint="eastAsia"/>
                <w:sz w:val="18"/>
                <w:szCs w:val="18"/>
              </w:rPr>
              <w:t>序号</w:t>
            </w:r>
          </w:p>
        </w:tc>
        <w:tc>
          <w:tcPr>
            <w:tcW w:w="1560" w:type="dxa"/>
            <w:tcBorders>
              <w:top w:val="single" w:color="auto" w:sz="4" w:space="0"/>
              <w:left w:val="single" w:color="auto" w:sz="4" w:space="0"/>
              <w:bottom w:val="single" w:color="auto" w:sz="4" w:space="0"/>
              <w:right w:val="single" w:color="auto" w:sz="4" w:space="0"/>
            </w:tcBorders>
            <w:shd w:val="clear" w:color="000000" w:fill="71DAFF"/>
            <w:vAlign w:val="center"/>
          </w:tcPr>
          <w:p>
            <w:pPr>
              <w:ind w:firstLine="0" w:firstLineChars="0"/>
              <w:jc w:val="center"/>
              <w:rPr>
                <w:sz w:val="18"/>
                <w:szCs w:val="18"/>
              </w:rPr>
            </w:pPr>
            <w:r>
              <w:rPr>
                <w:rFonts w:hint="eastAsia"/>
                <w:sz w:val="18"/>
                <w:szCs w:val="18"/>
              </w:rPr>
              <w:t>专业代码</w:t>
            </w:r>
          </w:p>
        </w:tc>
        <w:tc>
          <w:tcPr>
            <w:tcW w:w="2268" w:type="dxa"/>
            <w:tcBorders>
              <w:top w:val="single" w:color="auto" w:sz="4" w:space="0"/>
              <w:left w:val="single" w:color="auto" w:sz="4" w:space="0"/>
              <w:bottom w:val="single" w:color="auto" w:sz="4" w:space="0"/>
              <w:right w:val="single" w:color="auto" w:sz="4" w:space="0"/>
            </w:tcBorders>
            <w:shd w:val="clear" w:color="000000" w:fill="71DAFF"/>
            <w:vAlign w:val="center"/>
          </w:tcPr>
          <w:p>
            <w:pPr>
              <w:ind w:firstLine="0" w:firstLineChars="0"/>
              <w:jc w:val="center"/>
              <w:rPr>
                <w:sz w:val="18"/>
                <w:szCs w:val="18"/>
              </w:rPr>
            </w:pPr>
            <w:r>
              <w:rPr>
                <w:rFonts w:hint="eastAsia"/>
                <w:sz w:val="18"/>
                <w:szCs w:val="18"/>
              </w:rPr>
              <w:t>专业名称(全称)</w:t>
            </w:r>
          </w:p>
        </w:tc>
        <w:tc>
          <w:tcPr>
            <w:tcW w:w="1985" w:type="dxa"/>
            <w:tcBorders>
              <w:top w:val="single" w:color="auto" w:sz="4" w:space="0"/>
              <w:left w:val="single" w:color="auto" w:sz="4" w:space="0"/>
              <w:bottom w:val="single" w:color="auto" w:sz="4" w:space="0"/>
              <w:right w:val="single" w:color="auto" w:sz="4" w:space="0"/>
            </w:tcBorders>
            <w:shd w:val="clear" w:color="000000" w:fill="71DAFF"/>
            <w:vAlign w:val="center"/>
          </w:tcPr>
          <w:p>
            <w:pPr>
              <w:ind w:firstLine="0" w:firstLineChars="0"/>
              <w:jc w:val="center"/>
              <w:rPr>
                <w:sz w:val="18"/>
                <w:szCs w:val="18"/>
              </w:rPr>
            </w:pPr>
            <w:r>
              <w:rPr>
                <w:rFonts w:hint="eastAsia"/>
                <w:sz w:val="18"/>
                <w:szCs w:val="18"/>
              </w:rPr>
              <w:t>专业技能方向名称(全称)</w:t>
            </w:r>
          </w:p>
        </w:tc>
        <w:tc>
          <w:tcPr>
            <w:tcW w:w="1417" w:type="dxa"/>
            <w:tcBorders>
              <w:top w:val="single" w:color="auto" w:sz="4" w:space="0"/>
              <w:left w:val="single" w:color="auto" w:sz="4" w:space="0"/>
              <w:bottom w:val="single" w:color="auto" w:sz="4" w:space="0"/>
              <w:right w:val="single" w:color="auto" w:sz="4" w:space="0"/>
            </w:tcBorders>
            <w:shd w:val="clear" w:color="000000" w:fill="71DAFF"/>
            <w:vAlign w:val="center"/>
          </w:tcPr>
          <w:p>
            <w:pPr>
              <w:ind w:firstLine="0" w:firstLineChars="0"/>
              <w:jc w:val="center"/>
              <w:rPr>
                <w:sz w:val="18"/>
                <w:szCs w:val="18"/>
              </w:rPr>
            </w:pPr>
            <w:r>
              <w:rPr>
                <w:rFonts w:hint="eastAsia"/>
                <w:sz w:val="18"/>
                <w:szCs w:val="18"/>
              </w:rPr>
              <w:t>毕业生数（人）</w:t>
            </w:r>
          </w:p>
        </w:tc>
        <w:tc>
          <w:tcPr>
            <w:tcW w:w="1134" w:type="dxa"/>
            <w:tcBorders>
              <w:top w:val="single" w:color="auto" w:sz="4" w:space="0"/>
              <w:left w:val="nil"/>
              <w:bottom w:val="single" w:color="auto" w:sz="4" w:space="0"/>
              <w:right w:val="single" w:color="auto" w:sz="4" w:space="0"/>
            </w:tcBorders>
            <w:shd w:val="clear" w:color="000000" w:fill="71DAFF"/>
            <w:vAlign w:val="center"/>
          </w:tcPr>
          <w:p>
            <w:pPr>
              <w:ind w:firstLine="0" w:firstLineChars="0"/>
              <w:jc w:val="center"/>
              <w:rPr>
                <w:sz w:val="18"/>
                <w:szCs w:val="18"/>
              </w:rPr>
            </w:pPr>
            <w:r>
              <w:rPr>
                <w:rFonts w:hint="eastAsia"/>
                <w:sz w:val="18"/>
                <w:szCs w:val="18"/>
              </w:rPr>
              <w:t>直接就业数(人)</w:t>
            </w:r>
          </w:p>
        </w:tc>
        <w:tc>
          <w:tcPr>
            <w:tcW w:w="1418" w:type="dxa"/>
            <w:tcBorders>
              <w:top w:val="single" w:color="auto" w:sz="4" w:space="0"/>
              <w:left w:val="nil"/>
              <w:bottom w:val="single" w:color="auto" w:sz="4" w:space="0"/>
              <w:right w:val="single" w:color="auto" w:sz="4" w:space="0"/>
            </w:tcBorders>
            <w:shd w:val="clear" w:color="000000" w:fill="71DAFF"/>
            <w:vAlign w:val="center"/>
          </w:tcPr>
          <w:p>
            <w:pPr>
              <w:ind w:firstLine="0" w:firstLineChars="0"/>
              <w:jc w:val="center"/>
              <w:rPr>
                <w:sz w:val="18"/>
                <w:szCs w:val="18"/>
              </w:rPr>
            </w:pPr>
            <w:r>
              <w:rPr>
                <w:rFonts w:hint="eastAsia"/>
                <w:sz w:val="18"/>
                <w:szCs w:val="18"/>
              </w:rPr>
              <w:t>起薪线（元）</w:t>
            </w:r>
          </w:p>
        </w:tc>
        <w:tc>
          <w:tcPr>
            <w:tcW w:w="1417" w:type="dxa"/>
            <w:tcBorders>
              <w:top w:val="single" w:color="auto" w:sz="4" w:space="0"/>
              <w:left w:val="nil"/>
              <w:bottom w:val="single" w:color="auto" w:sz="4" w:space="0"/>
              <w:right w:val="single" w:color="auto" w:sz="4" w:space="0"/>
            </w:tcBorders>
            <w:shd w:val="clear" w:color="000000" w:fill="71DAFF"/>
            <w:vAlign w:val="center"/>
          </w:tcPr>
          <w:p>
            <w:pPr>
              <w:ind w:firstLine="0" w:firstLineChars="0"/>
              <w:jc w:val="center"/>
              <w:rPr>
                <w:sz w:val="18"/>
                <w:szCs w:val="18"/>
              </w:rPr>
            </w:pPr>
            <w:r>
              <w:rPr>
                <w:rFonts w:hint="eastAsia"/>
                <w:sz w:val="18"/>
                <w:szCs w:val="18"/>
              </w:rPr>
              <w:t>对口就业就业数(人)</w:t>
            </w:r>
          </w:p>
        </w:tc>
        <w:tc>
          <w:tcPr>
            <w:tcW w:w="1418" w:type="dxa"/>
            <w:tcBorders>
              <w:top w:val="single" w:color="auto" w:sz="4" w:space="0"/>
              <w:left w:val="nil"/>
              <w:bottom w:val="single" w:color="auto" w:sz="4" w:space="0"/>
              <w:right w:val="single" w:color="auto" w:sz="4" w:space="0"/>
            </w:tcBorders>
            <w:shd w:val="clear" w:color="000000" w:fill="71DAFF"/>
            <w:vAlign w:val="center"/>
          </w:tcPr>
          <w:p>
            <w:pPr>
              <w:ind w:firstLine="0" w:firstLineChars="0"/>
              <w:jc w:val="center"/>
              <w:rPr>
                <w:sz w:val="18"/>
                <w:szCs w:val="18"/>
              </w:rPr>
            </w:pPr>
            <w:r>
              <w:rPr>
                <w:rFonts w:hint="eastAsia"/>
                <w:sz w:val="18"/>
                <w:szCs w:val="18"/>
              </w:rPr>
              <w:t>创业数(人)</w:t>
            </w:r>
          </w:p>
        </w:tc>
        <w:tc>
          <w:tcPr>
            <w:tcW w:w="1417" w:type="dxa"/>
            <w:tcBorders>
              <w:top w:val="single" w:color="auto" w:sz="4" w:space="0"/>
              <w:left w:val="single" w:color="auto" w:sz="4" w:space="0"/>
              <w:bottom w:val="single" w:color="auto" w:sz="4" w:space="0"/>
              <w:right w:val="single" w:color="auto" w:sz="4" w:space="0"/>
            </w:tcBorders>
            <w:shd w:val="clear" w:color="000000" w:fill="71DAFF"/>
            <w:vAlign w:val="center"/>
          </w:tcPr>
          <w:p>
            <w:pPr>
              <w:ind w:firstLine="0" w:firstLineChars="0"/>
              <w:jc w:val="center"/>
              <w:rPr>
                <w:sz w:val="18"/>
                <w:szCs w:val="18"/>
              </w:rPr>
            </w:pPr>
            <w:r>
              <w:rPr>
                <w:rFonts w:hint="eastAsia"/>
                <w:sz w:val="18"/>
                <w:szCs w:val="18"/>
              </w:rPr>
              <w:t>毕业生升学数(人)</w:t>
            </w:r>
          </w:p>
        </w:tc>
      </w:tr>
      <w:tr>
        <w:tblPrEx>
          <w:tblCellMar>
            <w:top w:w="0" w:type="dxa"/>
            <w:left w:w="108" w:type="dxa"/>
            <w:bottom w:w="0" w:type="dxa"/>
            <w:right w:w="108" w:type="dxa"/>
          </w:tblCellMar>
        </w:tblPrEx>
        <w:trPr>
          <w:trHeight w:val="497" w:hRule="atLeast"/>
        </w:trPr>
        <w:tc>
          <w:tcPr>
            <w:tcW w:w="865" w:type="dxa"/>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r>
              <w:rPr>
                <w:sz w:val="18"/>
                <w:szCs w:val="18"/>
              </w:rPr>
              <w:t>001</w:t>
            </w:r>
          </w:p>
        </w:tc>
        <w:tc>
          <w:tcPr>
            <w:tcW w:w="1560" w:type="dxa"/>
            <w:tcBorders>
              <w:top w:val="nil"/>
              <w:left w:val="nil"/>
              <w:bottom w:val="single" w:color="auto" w:sz="4" w:space="0"/>
              <w:right w:val="single" w:color="auto" w:sz="4" w:space="0"/>
            </w:tcBorders>
            <w:vAlign w:val="center"/>
          </w:tcPr>
          <w:p>
            <w:pPr>
              <w:ind w:firstLine="360"/>
              <w:jc w:val="center"/>
              <w:rPr>
                <w:sz w:val="18"/>
                <w:szCs w:val="18"/>
              </w:rPr>
            </w:pPr>
            <w:r>
              <w:rPr>
                <w:sz w:val="18"/>
                <w:szCs w:val="18"/>
              </w:rPr>
              <w:t>0912</w:t>
            </w:r>
          </w:p>
        </w:tc>
        <w:tc>
          <w:tcPr>
            <w:tcW w:w="2268" w:type="dxa"/>
            <w:tcBorders>
              <w:top w:val="nil"/>
              <w:left w:val="nil"/>
              <w:bottom w:val="single" w:color="auto" w:sz="4" w:space="0"/>
              <w:right w:val="single" w:color="auto" w:sz="4" w:space="0"/>
            </w:tcBorders>
            <w:vAlign w:val="center"/>
          </w:tcPr>
          <w:p>
            <w:pPr>
              <w:ind w:firstLine="360"/>
              <w:jc w:val="center"/>
              <w:rPr>
                <w:rFonts w:ascii="宋体" w:hAnsi="宋体" w:cs="宋体"/>
                <w:color w:val="000000"/>
                <w:sz w:val="18"/>
                <w:szCs w:val="18"/>
              </w:rPr>
            </w:pPr>
            <w:r>
              <w:rPr>
                <w:rFonts w:hint="eastAsia"/>
                <w:color w:val="000000"/>
                <w:sz w:val="18"/>
                <w:szCs w:val="18"/>
              </w:rPr>
              <w:t>电子与信息技术</w:t>
            </w:r>
          </w:p>
        </w:tc>
        <w:tc>
          <w:tcPr>
            <w:tcW w:w="1985"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电子设备装接工</w:t>
            </w:r>
          </w:p>
        </w:tc>
        <w:tc>
          <w:tcPr>
            <w:tcW w:w="1417" w:type="dxa"/>
            <w:tcBorders>
              <w:top w:val="nil"/>
              <w:left w:val="nil"/>
              <w:bottom w:val="single" w:color="auto" w:sz="4" w:space="0"/>
              <w:right w:val="single" w:color="auto" w:sz="4" w:space="0"/>
            </w:tcBorders>
            <w:vAlign w:val="center"/>
          </w:tcPr>
          <w:p>
            <w:pPr>
              <w:ind w:firstLine="480"/>
              <w:jc w:val="center"/>
            </w:pPr>
            <w:r>
              <w:t>35</w:t>
            </w:r>
          </w:p>
        </w:tc>
        <w:tc>
          <w:tcPr>
            <w:tcW w:w="1134" w:type="dxa"/>
            <w:tcBorders>
              <w:top w:val="single" w:color="auto" w:sz="4" w:space="0"/>
              <w:left w:val="nil"/>
              <w:bottom w:val="single" w:color="auto" w:sz="4" w:space="0"/>
              <w:right w:val="single" w:color="auto" w:sz="4" w:space="0"/>
            </w:tcBorders>
            <w:vAlign w:val="center"/>
          </w:tcPr>
          <w:p>
            <w:pPr>
              <w:ind w:firstLine="480"/>
              <w:jc w:val="center"/>
            </w:pPr>
            <w:r>
              <w:t>15</w:t>
            </w:r>
          </w:p>
        </w:tc>
        <w:tc>
          <w:tcPr>
            <w:tcW w:w="1418" w:type="dxa"/>
            <w:tcBorders>
              <w:top w:val="single" w:color="auto" w:sz="4" w:space="0"/>
              <w:left w:val="nil"/>
              <w:bottom w:val="single" w:color="auto" w:sz="4" w:space="0"/>
              <w:right w:val="single" w:color="auto" w:sz="4" w:space="0"/>
            </w:tcBorders>
            <w:vAlign w:val="center"/>
          </w:tcPr>
          <w:p>
            <w:pPr>
              <w:ind w:firstLine="480"/>
              <w:jc w:val="center"/>
            </w:pPr>
            <w:r>
              <w:t>1600</w:t>
            </w:r>
          </w:p>
        </w:tc>
        <w:tc>
          <w:tcPr>
            <w:tcW w:w="1417" w:type="dxa"/>
            <w:tcBorders>
              <w:top w:val="single" w:color="auto" w:sz="4" w:space="0"/>
              <w:left w:val="nil"/>
              <w:bottom w:val="single" w:color="auto" w:sz="4" w:space="0"/>
              <w:right w:val="single" w:color="auto" w:sz="4" w:space="0"/>
            </w:tcBorders>
            <w:vAlign w:val="center"/>
          </w:tcPr>
          <w:p>
            <w:pPr>
              <w:ind w:firstLine="480"/>
              <w:jc w:val="center"/>
            </w:pPr>
            <w:r>
              <w:t>13</w:t>
            </w:r>
          </w:p>
        </w:tc>
        <w:tc>
          <w:tcPr>
            <w:tcW w:w="1418" w:type="dxa"/>
            <w:tcBorders>
              <w:top w:val="single" w:color="auto" w:sz="4" w:space="0"/>
              <w:left w:val="nil"/>
              <w:bottom w:val="single" w:color="auto" w:sz="4" w:space="0"/>
              <w:right w:val="single" w:color="auto" w:sz="4" w:space="0"/>
            </w:tcBorders>
            <w:vAlign w:val="center"/>
          </w:tcPr>
          <w:p>
            <w:pPr>
              <w:ind w:firstLine="480"/>
              <w:jc w:val="center"/>
            </w:pPr>
            <w:r>
              <w:t>1</w:t>
            </w:r>
          </w:p>
        </w:tc>
        <w:tc>
          <w:tcPr>
            <w:tcW w:w="1417" w:type="dxa"/>
            <w:tcBorders>
              <w:top w:val="nil"/>
              <w:left w:val="nil"/>
              <w:bottom w:val="single" w:color="auto" w:sz="4" w:space="0"/>
              <w:right w:val="single" w:color="auto" w:sz="4" w:space="0"/>
            </w:tcBorders>
            <w:vAlign w:val="center"/>
          </w:tcPr>
          <w:p>
            <w:pPr>
              <w:ind w:firstLine="480"/>
              <w:jc w:val="center"/>
            </w:pPr>
            <w:r>
              <w:t>18</w:t>
            </w:r>
          </w:p>
        </w:tc>
      </w:tr>
      <w:tr>
        <w:tblPrEx>
          <w:tblCellMar>
            <w:top w:w="0" w:type="dxa"/>
            <w:left w:w="108" w:type="dxa"/>
            <w:bottom w:w="0" w:type="dxa"/>
            <w:right w:w="108" w:type="dxa"/>
          </w:tblCellMar>
        </w:tblPrEx>
        <w:trPr>
          <w:trHeight w:val="547" w:hRule="atLeast"/>
        </w:trPr>
        <w:tc>
          <w:tcPr>
            <w:tcW w:w="865" w:type="dxa"/>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r>
              <w:rPr>
                <w:sz w:val="18"/>
                <w:szCs w:val="18"/>
              </w:rPr>
              <w:t>002</w:t>
            </w:r>
          </w:p>
        </w:tc>
        <w:tc>
          <w:tcPr>
            <w:tcW w:w="1560" w:type="dxa"/>
            <w:tcBorders>
              <w:top w:val="nil"/>
              <w:left w:val="nil"/>
              <w:bottom w:val="single" w:color="auto" w:sz="4" w:space="0"/>
              <w:right w:val="single" w:color="auto" w:sz="4" w:space="0"/>
            </w:tcBorders>
            <w:vAlign w:val="center"/>
          </w:tcPr>
          <w:p>
            <w:pPr>
              <w:ind w:firstLine="360"/>
              <w:jc w:val="center"/>
              <w:rPr>
                <w:sz w:val="18"/>
                <w:szCs w:val="18"/>
              </w:rPr>
            </w:pPr>
            <w:r>
              <w:rPr>
                <w:sz w:val="18"/>
                <w:szCs w:val="18"/>
              </w:rPr>
              <w:t>0825</w:t>
            </w:r>
          </w:p>
        </w:tc>
        <w:tc>
          <w:tcPr>
            <w:tcW w:w="2268" w:type="dxa"/>
            <w:tcBorders>
              <w:top w:val="nil"/>
              <w:left w:val="nil"/>
              <w:bottom w:val="single" w:color="auto" w:sz="4" w:space="0"/>
              <w:right w:val="single" w:color="auto" w:sz="4" w:space="0"/>
            </w:tcBorders>
            <w:vAlign w:val="center"/>
          </w:tcPr>
          <w:p>
            <w:pPr>
              <w:ind w:firstLine="360"/>
              <w:jc w:val="center"/>
              <w:rPr>
                <w:rFonts w:ascii="宋体" w:hAnsi="宋体" w:cs="宋体"/>
                <w:color w:val="000000"/>
                <w:sz w:val="18"/>
                <w:szCs w:val="18"/>
              </w:rPr>
            </w:pPr>
            <w:r>
              <w:rPr>
                <w:rFonts w:hint="eastAsia"/>
                <w:color w:val="000000"/>
                <w:sz w:val="18"/>
                <w:szCs w:val="18"/>
              </w:rPr>
              <w:t>汽车运用与维修</w:t>
            </w:r>
          </w:p>
        </w:tc>
        <w:tc>
          <w:tcPr>
            <w:tcW w:w="1985"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机动车维修从业人员</w:t>
            </w:r>
          </w:p>
        </w:tc>
        <w:tc>
          <w:tcPr>
            <w:tcW w:w="1417" w:type="dxa"/>
            <w:tcBorders>
              <w:top w:val="nil"/>
              <w:left w:val="nil"/>
              <w:bottom w:val="single" w:color="auto" w:sz="4" w:space="0"/>
              <w:right w:val="single" w:color="auto" w:sz="4" w:space="0"/>
            </w:tcBorders>
            <w:vAlign w:val="center"/>
          </w:tcPr>
          <w:p>
            <w:pPr>
              <w:ind w:firstLine="480"/>
              <w:jc w:val="center"/>
            </w:pPr>
            <w:r>
              <w:t>65</w:t>
            </w:r>
          </w:p>
        </w:tc>
        <w:tc>
          <w:tcPr>
            <w:tcW w:w="1134" w:type="dxa"/>
            <w:tcBorders>
              <w:top w:val="nil"/>
              <w:left w:val="nil"/>
              <w:bottom w:val="single" w:color="auto" w:sz="4" w:space="0"/>
              <w:right w:val="single" w:color="auto" w:sz="4" w:space="0"/>
            </w:tcBorders>
            <w:vAlign w:val="center"/>
          </w:tcPr>
          <w:p>
            <w:pPr>
              <w:ind w:firstLine="480"/>
              <w:jc w:val="center"/>
            </w:pPr>
            <w:r>
              <w:t>60</w:t>
            </w:r>
          </w:p>
        </w:tc>
        <w:tc>
          <w:tcPr>
            <w:tcW w:w="1418" w:type="dxa"/>
            <w:tcBorders>
              <w:top w:val="nil"/>
              <w:left w:val="nil"/>
              <w:bottom w:val="single" w:color="auto" w:sz="4" w:space="0"/>
              <w:right w:val="single" w:color="auto" w:sz="4" w:space="0"/>
            </w:tcBorders>
            <w:vAlign w:val="center"/>
          </w:tcPr>
          <w:p>
            <w:pPr>
              <w:ind w:firstLine="480"/>
              <w:jc w:val="center"/>
            </w:pPr>
            <w:r>
              <w:t>1800</w:t>
            </w:r>
          </w:p>
        </w:tc>
        <w:tc>
          <w:tcPr>
            <w:tcW w:w="1417" w:type="dxa"/>
            <w:tcBorders>
              <w:top w:val="nil"/>
              <w:left w:val="nil"/>
              <w:bottom w:val="single" w:color="auto" w:sz="4" w:space="0"/>
              <w:right w:val="single" w:color="auto" w:sz="4" w:space="0"/>
            </w:tcBorders>
            <w:vAlign w:val="center"/>
          </w:tcPr>
          <w:p>
            <w:pPr>
              <w:ind w:firstLine="480"/>
              <w:jc w:val="center"/>
            </w:pPr>
            <w:r>
              <w:t>54</w:t>
            </w:r>
          </w:p>
        </w:tc>
        <w:tc>
          <w:tcPr>
            <w:tcW w:w="1418" w:type="dxa"/>
            <w:tcBorders>
              <w:top w:val="nil"/>
              <w:left w:val="nil"/>
              <w:bottom w:val="single" w:color="auto" w:sz="4" w:space="0"/>
              <w:right w:val="single" w:color="auto" w:sz="4" w:space="0"/>
            </w:tcBorders>
            <w:vAlign w:val="center"/>
          </w:tcPr>
          <w:p>
            <w:pPr>
              <w:ind w:firstLine="480"/>
              <w:jc w:val="center"/>
            </w:pPr>
            <w:r>
              <w:t>3</w:t>
            </w:r>
          </w:p>
        </w:tc>
        <w:tc>
          <w:tcPr>
            <w:tcW w:w="1417" w:type="dxa"/>
            <w:tcBorders>
              <w:top w:val="nil"/>
              <w:left w:val="nil"/>
              <w:bottom w:val="single" w:color="auto" w:sz="4" w:space="0"/>
              <w:right w:val="single" w:color="auto" w:sz="4" w:space="0"/>
            </w:tcBorders>
            <w:vAlign w:val="center"/>
          </w:tcPr>
          <w:p>
            <w:pPr>
              <w:ind w:firstLine="480"/>
              <w:jc w:val="center"/>
            </w:pPr>
            <w:r>
              <w:t>3</w:t>
            </w:r>
          </w:p>
        </w:tc>
      </w:tr>
      <w:tr>
        <w:tblPrEx>
          <w:tblCellMar>
            <w:top w:w="0" w:type="dxa"/>
            <w:left w:w="108" w:type="dxa"/>
            <w:bottom w:w="0" w:type="dxa"/>
            <w:right w:w="108" w:type="dxa"/>
          </w:tblCellMar>
        </w:tblPrEx>
        <w:trPr>
          <w:trHeight w:val="555" w:hRule="atLeast"/>
        </w:trPr>
        <w:tc>
          <w:tcPr>
            <w:tcW w:w="865" w:type="dxa"/>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r>
              <w:rPr>
                <w:sz w:val="18"/>
                <w:szCs w:val="18"/>
              </w:rPr>
              <w:t>003</w:t>
            </w:r>
          </w:p>
        </w:tc>
        <w:tc>
          <w:tcPr>
            <w:tcW w:w="1560" w:type="dxa"/>
            <w:tcBorders>
              <w:top w:val="nil"/>
              <w:left w:val="nil"/>
              <w:bottom w:val="single" w:color="auto" w:sz="4" w:space="0"/>
              <w:right w:val="single" w:color="auto" w:sz="4" w:space="0"/>
            </w:tcBorders>
            <w:vAlign w:val="center"/>
          </w:tcPr>
          <w:p>
            <w:pPr>
              <w:ind w:firstLine="360"/>
              <w:jc w:val="center"/>
              <w:rPr>
                <w:sz w:val="18"/>
                <w:szCs w:val="18"/>
              </w:rPr>
            </w:pPr>
            <w:r>
              <w:rPr>
                <w:sz w:val="18"/>
                <w:szCs w:val="18"/>
              </w:rPr>
              <w:t>1307</w:t>
            </w:r>
          </w:p>
        </w:tc>
        <w:tc>
          <w:tcPr>
            <w:tcW w:w="2268" w:type="dxa"/>
            <w:tcBorders>
              <w:top w:val="nil"/>
              <w:left w:val="nil"/>
              <w:bottom w:val="single" w:color="auto" w:sz="4" w:space="0"/>
              <w:right w:val="single" w:color="auto" w:sz="4" w:space="0"/>
            </w:tcBorders>
            <w:vAlign w:val="center"/>
          </w:tcPr>
          <w:p>
            <w:pPr>
              <w:ind w:firstLine="360"/>
              <w:jc w:val="center"/>
              <w:rPr>
                <w:rFonts w:ascii="宋体" w:hAnsi="宋体" w:cs="宋体"/>
                <w:color w:val="000000"/>
                <w:sz w:val="18"/>
                <w:szCs w:val="18"/>
              </w:rPr>
            </w:pPr>
            <w:r>
              <w:rPr>
                <w:rFonts w:hint="eastAsia"/>
                <w:color w:val="000000"/>
                <w:sz w:val="18"/>
                <w:szCs w:val="18"/>
              </w:rPr>
              <w:t>中餐烹饪与营养膳食</w:t>
            </w:r>
          </w:p>
        </w:tc>
        <w:tc>
          <w:tcPr>
            <w:tcW w:w="1985"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中式烹调师（中级）</w:t>
            </w:r>
          </w:p>
        </w:tc>
        <w:tc>
          <w:tcPr>
            <w:tcW w:w="1417" w:type="dxa"/>
            <w:tcBorders>
              <w:top w:val="nil"/>
              <w:left w:val="nil"/>
              <w:bottom w:val="single" w:color="auto" w:sz="4" w:space="0"/>
              <w:right w:val="single" w:color="auto" w:sz="4" w:space="0"/>
            </w:tcBorders>
            <w:vAlign w:val="center"/>
          </w:tcPr>
          <w:p>
            <w:pPr>
              <w:ind w:firstLine="480"/>
              <w:jc w:val="center"/>
            </w:pPr>
            <w:r>
              <w:t>50</w:t>
            </w:r>
          </w:p>
        </w:tc>
        <w:tc>
          <w:tcPr>
            <w:tcW w:w="1134" w:type="dxa"/>
            <w:tcBorders>
              <w:top w:val="nil"/>
              <w:left w:val="nil"/>
              <w:bottom w:val="single" w:color="auto" w:sz="4" w:space="0"/>
              <w:right w:val="single" w:color="auto" w:sz="4" w:space="0"/>
            </w:tcBorders>
            <w:vAlign w:val="center"/>
          </w:tcPr>
          <w:p>
            <w:pPr>
              <w:ind w:firstLine="480"/>
              <w:jc w:val="center"/>
            </w:pPr>
            <w:r>
              <w:t>47</w:t>
            </w:r>
          </w:p>
        </w:tc>
        <w:tc>
          <w:tcPr>
            <w:tcW w:w="1418" w:type="dxa"/>
            <w:tcBorders>
              <w:top w:val="nil"/>
              <w:left w:val="nil"/>
              <w:bottom w:val="single" w:color="auto" w:sz="4" w:space="0"/>
              <w:right w:val="single" w:color="auto" w:sz="4" w:space="0"/>
            </w:tcBorders>
            <w:vAlign w:val="center"/>
          </w:tcPr>
          <w:p>
            <w:pPr>
              <w:ind w:firstLine="480"/>
              <w:jc w:val="center"/>
            </w:pPr>
            <w:r>
              <w:t>1800</w:t>
            </w:r>
          </w:p>
        </w:tc>
        <w:tc>
          <w:tcPr>
            <w:tcW w:w="1417" w:type="dxa"/>
            <w:tcBorders>
              <w:top w:val="nil"/>
              <w:left w:val="nil"/>
              <w:bottom w:val="single" w:color="auto" w:sz="4" w:space="0"/>
              <w:right w:val="single" w:color="auto" w:sz="4" w:space="0"/>
            </w:tcBorders>
            <w:vAlign w:val="center"/>
          </w:tcPr>
          <w:p>
            <w:pPr>
              <w:ind w:firstLine="480"/>
              <w:jc w:val="center"/>
            </w:pPr>
            <w:r>
              <w:t>44</w:t>
            </w:r>
          </w:p>
        </w:tc>
        <w:tc>
          <w:tcPr>
            <w:tcW w:w="1418" w:type="dxa"/>
            <w:tcBorders>
              <w:top w:val="nil"/>
              <w:left w:val="nil"/>
              <w:bottom w:val="single" w:color="auto" w:sz="4" w:space="0"/>
              <w:right w:val="single" w:color="auto" w:sz="4" w:space="0"/>
            </w:tcBorders>
            <w:vAlign w:val="center"/>
          </w:tcPr>
          <w:p>
            <w:pPr>
              <w:ind w:firstLine="480"/>
              <w:jc w:val="center"/>
            </w:pPr>
            <w:r>
              <w:t>1</w:t>
            </w:r>
          </w:p>
        </w:tc>
        <w:tc>
          <w:tcPr>
            <w:tcW w:w="1417" w:type="dxa"/>
            <w:tcBorders>
              <w:top w:val="nil"/>
              <w:left w:val="nil"/>
              <w:bottom w:val="single" w:color="auto" w:sz="4" w:space="0"/>
              <w:right w:val="single" w:color="auto" w:sz="4" w:space="0"/>
            </w:tcBorders>
            <w:vAlign w:val="center"/>
          </w:tcPr>
          <w:p>
            <w:pPr>
              <w:ind w:firstLine="480"/>
              <w:jc w:val="center"/>
            </w:pPr>
            <w:r>
              <w:t>1</w:t>
            </w:r>
          </w:p>
        </w:tc>
      </w:tr>
      <w:tr>
        <w:tblPrEx>
          <w:tblCellMar>
            <w:top w:w="0" w:type="dxa"/>
            <w:left w:w="108" w:type="dxa"/>
            <w:bottom w:w="0" w:type="dxa"/>
            <w:right w:w="108" w:type="dxa"/>
          </w:tblCellMar>
        </w:tblPrEx>
        <w:trPr>
          <w:trHeight w:val="549" w:hRule="atLeast"/>
        </w:trPr>
        <w:tc>
          <w:tcPr>
            <w:tcW w:w="865" w:type="dxa"/>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r>
              <w:rPr>
                <w:sz w:val="18"/>
                <w:szCs w:val="18"/>
              </w:rPr>
              <w:t>004</w:t>
            </w:r>
          </w:p>
        </w:tc>
        <w:tc>
          <w:tcPr>
            <w:tcW w:w="1560" w:type="dxa"/>
            <w:tcBorders>
              <w:top w:val="nil"/>
              <w:left w:val="nil"/>
              <w:bottom w:val="single" w:color="auto" w:sz="4" w:space="0"/>
              <w:right w:val="single" w:color="auto" w:sz="4" w:space="0"/>
            </w:tcBorders>
            <w:vAlign w:val="center"/>
          </w:tcPr>
          <w:p>
            <w:pPr>
              <w:ind w:firstLine="360"/>
              <w:jc w:val="center"/>
              <w:rPr>
                <w:sz w:val="18"/>
                <w:szCs w:val="18"/>
              </w:rPr>
            </w:pPr>
            <w:r>
              <w:rPr>
                <w:sz w:val="18"/>
                <w:szCs w:val="18"/>
              </w:rPr>
              <w:t>0514</w:t>
            </w:r>
          </w:p>
        </w:tc>
        <w:tc>
          <w:tcPr>
            <w:tcW w:w="2268" w:type="dxa"/>
            <w:tcBorders>
              <w:top w:val="nil"/>
              <w:left w:val="nil"/>
              <w:bottom w:val="single" w:color="auto" w:sz="4" w:space="0"/>
              <w:right w:val="single" w:color="auto" w:sz="4" w:space="0"/>
            </w:tcBorders>
            <w:vAlign w:val="center"/>
          </w:tcPr>
          <w:p>
            <w:pPr>
              <w:ind w:firstLine="360"/>
              <w:jc w:val="center"/>
              <w:rPr>
                <w:rFonts w:ascii="宋体" w:hAnsi="宋体" w:cs="宋体"/>
                <w:color w:val="000000"/>
                <w:sz w:val="18"/>
                <w:szCs w:val="18"/>
              </w:rPr>
            </w:pPr>
            <w:r>
              <w:rPr>
                <w:rFonts w:hint="eastAsia"/>
                <w:color w:val="000000"/>
                <w:sz w:val="18"/>
                <w:szCs w:val="18"/>
              </w:rPr>
              <w:t>数控技术应用</w:t>
            </w:r>
          </w:p>
        </w:tc>
        <w:tc>
          <w:tcPr>
            <w:tcW w:w="1985"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数控车工</w:t>
            </w:r>
          </w:p>
        </w:tc>
        <w:tc>
          <w:tcPr>
            <w:tcW w:w="1417" w:type="dxa"/>
            <w:tcBorders>
              <w:top w:val="nil"/>
              <w:left w:val="nil"/>
              <w:bottom w:val="single" w:color="auto" w:sz="4" w:space="0"/>
              <w:right w:val="single" w:color="auto" w:sz="4" w:space="0"/>
            </w:tcBorders>
            <w:vAlign w:val="center"/>
          </w:tcPr>
          <w:p>
            <w:pPr>
              <w:ind w:firstLine="480"/>
              <w:jc w:val="center"/>
            </w:pPr>
            <w:r>
              <w:t>28</w:t>
            </w:r>
          </w:p>
        </w:tc>
        <w:tc>
          <w:tcPr>
            <w:tcW w:w="1134" w:type="dxa"/>
            <w:tcBorders>
              <w:top w:val="nil"/>
              <w:left w:val="nil"/>
              <w:bottom w:val="single" w:color="auto" w:sz="4" w:space="0"/>
              <w:right w:val="single" w:color="auto" w:sz="4" w:space="0"/>
            </w:tcBorders>
            <w:vAlign w:val="center"/>
          </w:tcPr>
          <w:p>
            <w:pPr>
              <w:ind w:firstLine="480"/>
              <w:jc w:val="center"/>
            </w:pPr>
            <w:r>
              <w:t>23</w:t>
            </w:r>
          </w:p>
        </w:tc>
        <w:tc>
          <w:tcPr>
            <w:tcW w:w="1418" w:type="dxa"/>
            <w:tcBorders>
              <w:top w:val="nil"/>
              <w:left w:val="nil"/>
              <w:bottom w:val="single" w:color="auto" w:sz="4" w:space="0"/>
              <w:right w:val="single" w:color="auto" w:sz="4" w:space="0"/>
            </w:tcBorders>
            <w:vAlign w:val="center"/>
          </w:tcPr>
          <w:p>
            <w:pPr>
              <w:ind w:firstLine="480"/>
              <w:jc w:val="center"/>
            </w:pPr>
            <w:r>
              <w:t>1800</w:t>
            </w:r>
          </w:p>
        </w:tc>
        <w:tc>
          <w:tcPr>
            <w:tcW w:w="1417" w:type="dxa"/>
            <w:tcBorders>
              <w:top w:val="nil"/>
              <w:left w:val="nil"/>
              <w:bottom w:val="single" w:color="auto" w:sz="4" w:space="0"/>
              <w:right w:val="single" w:color="auto" w:sz="4" w:space="0"/>
            </w:tcBorders>
            <w:vAlign w:val="center"/>
          </w:tcPr>
          <w:p>
            <w:pPr>
              <w:ind w:firstLine="480"/>
              <w:jc w:val="center"/>
            </w:pPr>
            <w:r>
              <w:t>19</w:t>
            </w:r>
          </w:p>
        </w:tc>
        <w:tc>
          <w:tcPr>
            <w:tcW w:w="1418" w:type="dxa"/>
            <w:tcBorders>
              <w:top w:val="nil"/>
              <w:left w:val="nil"/>
              <w:bottom w:val="single" w:color="auto" w:sz="4" w:space="0"/>
              <w:right w:val="single" w:color="auto" w:sz="4" w:space="0"/>
            </w:tcBorders>
            <w:vAlign w:val="center"/>
          </w:tcPr>
          <w:p>
            <w:pPr>
              <w:ind w:firstLine="480"/>
              <w:jc w:val="center"/>
            </w:pPr>
            <w:r>
              <w:t>0</w:t>
            </w:r>
          </w:p>
        </w:tc>
        <w:tc>
          <w:tcPr>
            <w:tcW w:w="1417" w:type="dxa"/>
            <w:tcBorders>
              <w:top w:val="nil"/>
              <w:left w:val="nil"/>
              <w:bottom w:val="single" w:color="auto" w:sz="4" w:space="0"/>
              <w:right w:val="single" w:color="auto" w:sz="4" w:space="0"/>
            </w:tcBorders>
            <w:vAlign w:val="center"/>
          </w:tcPr>
          <w:p>
            <w:pPr>
              <w:ind w:firstLine="480"/>
              <w:jc w:val="center"/>
            </w:pPr>
            <w:r>
              <w:t>4</w:t>
            </w:r>
          </w:p>
        </w:tc>
      </w:tr>
      <w:tr>
        <w:tblPrEx>
          <w:tblCellMar>
            <w:top w:w="0" w:type="dxa"/>
            <w:left w:w="108" w:type="dxa"/>
            <w:bottom w:w="0" w:type="dxa"/>
            <w:right w:w="108" w:type="dxa"/>
          </w:tblCellMar>
        </w:tblPrEx>
        <w:trPr>
          <w:trHeight w:val="571" w:hRule="atLeast"/>
        </w:trPr>
        <w:tc>
          <w:tcPr>
            <w:tcW w:w="865" w:type="dxa"/>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r>
              <w:rPr>
                <w:sz w:val="18"/>
                <w:szCs w:val="18"/>
              </w:rPr>
              <w:t>005</w:t>
            </w:r>
          </w:p>
        </w:tc>
        <w:tc>
          <w:tcPr>
            <w:tcW w:w="1560" w:type="dxa"/>
            <w:tcBorders>
              <w:top w:val="nil"/>
              <w:left w:val="nil"/>
              <w:bottom w:val="single" w:color="auto" w:sz="4" w:space="0"/>
              <w:right w:val="single" w:color="auto" w:sz="4" w:space="0"/>
            </w:tcBorders>
            <w:vAlign w:val="center"/>
          </w:tcPr>
          <w:p>
            <w:pPr>
              <w:ind w:firstLine="360"/>
              <w:jc w:val="center"/>
              <w:rPr>
                <w:sz w:val="18"/>
                <w:szCs w:val="18"/>
              </w:rPr>
            </w:pPr>
            <w:r>
              <w:rPr>
                <w:sz w:val="18"/>
                <w:szCs w:val="18"/>
              </w:rPr>
              <w:t>0513</w:t>
            </w:r>
          </w:p>
        </w:tc>
        <w:tc>
          <w:tcPr>
            <w:tcW w:w="2268" w:type="dxa"/>
            <w:tcBorders>
              <w:top w:val="nil"/>
              <w:left w:val="nil"/>
              <w:bottom w:val="single" w:color="auto" w:sz="4" w:space="0"/>
              <w:right w:val="single" w:color="auto" w:sz="4" w:space="0"/>
            </w:tcBorders>
            <w:vAlign w:val="center"/>
          </w:tcPr>
          <w:p>
            <w:pPr>
              <w:ind w:firstLine="360"/>
              <w:jc w:val="center"/>
              <w:rPr>
                <w:rFonts w:ascii="宋体" w:hAnsi="宋体" w:cs="宋体"/>
                <w:color w:val="000000"/>
                <w:sz w:val="18"/>
                <w:szCs w:val="18"/>
              </w:rPr>
            </w:pPr>
            <w:r>
              <w:rPr>
                <w:rFonts w:hint="eastAsia"/>
                <w:color w:val="000000"/>
                <w:sz w:val="18"/>
                <w:szCs w:val="18"/>
              </w:rPr>
              <w:t>机电技术应用</w:t>
            </w:r>
          </w:p>
        </w:tc>
        <w:tc>
          <w:tcPr>
            <w:tcW w:w="1985"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机修钳工</w:t>
            </w:r>
          </w:p>
        </w:tc>
        <w:tc>
          <w:tcPr>
            <w:tcW w:w="1417" w:type="dxa"/>
            <w:tcBorders>
              <w:top w:val="nil"/>
              <w:left w:val="nil"/>
              <w:bottom w:val="single" w:color="auto" w:sz="4" w:space="0"/>
              <w:right w:val="single" w:color="auto" w:sz="4" w:space="0"/>
            </w:tcBorders>
            <w:vAlign w:val="center"/>
          </w:tcPr>
          <w:p>
            <w:pPr>
              <w:ind w:firstLine="480"/>
              <w:jc w:val="center"/>
            </w:pPr>
            <w:r>
              <w:t>56</w:t>
            </w:r>
          </w:p>
        </w:tc>
        <w:tc>
          <w:tcPr>
            <w:tcW w:w="1134" w:type="dxa"/>
            <w:tcBorders>
              <w:top w:val="nil"/>
              <w:left w:val="nil"/>
              <w:bottom w:val="single" w:color="auto" w:sz="4" w:space="0"/>
              <w:right w:val="single" w:color="auto" w:sz="4" w:space="0"/>
            </w:tcBorders>
            <w:vAlign w:val="center"/>
          </w:tcPr>
          <w:p>
            <w:pPr>
              <w:ind w:firstLine="480"/>
              <w:jc w:val="center"/>
            </w:pPr>
            <w:r>
              <w:t>43</w:t>
            </w:r>
          </w:p>
        </w:tc>
        <w:tc>
          <w:tcPr>
            <w:tcW w:w="1418" w:type="dxa"/>
            <w:tcBorders>
              <w:top w:val="nil"/>
              <w:left w:val="nil"/>
              <w:bottom w:val="single" w:color="auto" w:sz="4" w:space="0"/>
              <w:right w:val="single" w:color="auto" w:sz="4" w:space="0"/>
            </w:tcBorders>
            <w:vAlign w:val="center"/>
          </w:tcPr>
          <w:p>
            <w:pPr>
              <w:ind w:firstLine="480"/>
              <w:jc w:val="center"/>
            </w:pPr>
            <w:r>
              <w:t>1600</w:t>
            </w:r>
          </w:p>
        </w:tc>
        <w:tc>
          <w:tcPr>
            <w:tcW w:w="1417" w:type="dxa"/>
            <w:tcBorders>
              <w:top w:val="nil"/>
              <w:left w:val="nil"/>
              <w:bottom w:val="single" w:color="auto" w:sz="4" w:space="0"/>
              <w:right w:val="single" w:color="auto" w:sz="4" w:space="0"/>
            </w:tcBorders>
            <w:vAlign w:val="center"/>
          </w:tcPr>
          <w:p>
            <w:pPr>
              <w:ind w:firstLine="480"/>
              <w:jc w:val="center"/>
            </w:pPr>
            <w:r>
              <w:t>35</w:t>
            </w:r>
          </w:p>
        </w:tc>
        <w:tc>
          <w:tcPr>
            <w:tcW w:w="1418" w:type="dxa"/>
            <w:tcBorders>
              <w:top w:val="nil"/>
              <w:left w:val="nil"/>
              <w:bottom w:val="single" w:color="auto" w:sz="4" w:space="0"/>
              <w:right w:val="single" w:color="auto" w:sz="4" w:space="0"/>
            </w:tcBorders>
            <w:vAlign w:val="center"/>
          </w:tcPr>
          <w:p>
            <w:pPr>
              <w:ind w:firstLine="480"/>
              <w:jc w:val="center"/>
            </w:pPr>
            <w:r>
              <w:t>4</w:t>
            </w:r>
          </w:p>
        </w:tc>
        <w:tc>
          <w:tcPr>
            <w:tcW w:w="1417" w:type="dxa"/>
            <w:tcBorders>
              <w:top w:val="nil"/>
              <w:left w:val="nil"/>
              <w:bottom w:val="single" w:color="auto" w:sz="4" w:space="0"/>
              <w:right w:val="single" w:color="auto" w:sz="4" w:space="0"/>
            </w:tcBorders>
            <w:vAlign w:val="center"/>
          </w:tcPr>
          <w:p>
            <w:pPr>
              <w:ind w:firstLine="480"/>
              <w:jc w:val="center"/>
            </w:pPr>
            <w:r>
              <w:t>10</w:t>
            </w:r>
          </w:p>
        </w:tc>
      </w:tr>
      <w:tr>
        <w:tblPrEx>
          <w:tblCellMar>
            <w:top w:w="0" w:type="dxa"/>
            <w:left w:w="108" w:type="dxa"/>
            <w:bottom w:w="0" w:type="dxa"/>
            <w:right w:w="108" w:type="dxa"/>
          </w:tblCellMar>
        </w:tblPrEx>
        <w:trPr>
          <w:trHeight w:val="470" w:hRule="atLeast"/>
        </w:trPr>
        <w:tc>
          <w:tcPr>
            <w:tcW w:w="865" w:type="dxa"/>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r>
              <w:rPr>
                <w:sz w:val="18"/>
                <w:szCs w:val="18"/>
              </w:rPr>
              <w:t>006</w:t>
            </w:r>
          </w:p>
        </w:tc>
        <w:tc>
          <w:tcPr>
            <w:tcW w:w="1560" w:type="dxa"/>
            <w:tcBorders>
              <w:top w:val="nil"/>
              <w:left w:val="nil"/>
              <w:bottom w:val="single" w:color="auto" w:sz="4" w:space="0"/>
              <w:right w:val="single" w:color="auto" w:sz="4" w:space="0"/>
            </w:tcBorders>
            <w:vAlign w:val="center"/>
          </w:tcPr>
          <w:p>
            <w:pPr>
              <w:ind w:firstLine="360"/>
              <w:jc w:val="center"/>
              <w:rPr>
                <w:sz w:val="18"/>
                <w:szCs w:val="18"/>
              </w:rPr>
            </w:pPr>
            <w:r>
              <w:rPr>
                <w:sz w:val="18"/>
                <w:szCs w:val="18"/>
              </w:rPr>
              <w:t>0904</w:t>
            </w:r>
          </w:p>
        </w:tc>
        <w:tc>
          <w:tcPr>
            <w:tcW w:w="2268" w:type="dxa"/>
            <w:tcBorders>
              <w:top w:val="nil"/>
              <w:left w:val="nil"/>
              <w:bottom w:val="single" w:color="auto" w:sz="4" w:space="0"/>
              <w:right w:val="single" w:color="auto" w:sz="4" w:space="0"/>
            </w:tcBorders>
            <w:vAlign w:val="center"/>
          </w:tcPr>
          <w:p>
            <w:pPr>
              <w:ind w:firstLine="0" w:firstLineChars="0"/>
              <w:jc w:val="center"/>
              <w:rPr>
                <w:rFonts w:ascii="宋体" w:hAnsi="宋体" w:cs="宋体"/>
                <w:color w:val="000000"/>
                <w:sz w:val="18"/>
                <w:szCs w:val="18"/>
              </w:rPr>
            </w:pPr>
            <w:r>
              <w:rPr>
                <w:rFonts w:hint="eastAsia"/>
                <w:color w:val="000000"/>
                <w:sz w:val="18"/>
                <w:szCs w:val="18"/>
              </w:rPr>
              <w:t>计算机动漫与游戏制作</w:t>
            </w:r>
          </w:p>
        </w:tc>
        <w:tc>
          <w:tcPr>
            <w:tcW w:w="1985"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计算机操作员</w:t>
            </w:r>
          </w:p>
        </w:tc>
        <w:tc>
          <w:tcPr>
            <w:tcW w:w="1417" w:type="dxa"/>
            <w:tcBorders>
              <w:top w:val="nil"/>
              <w:left w:val="nil"/>
              <w:bottom w:val="single" w:color="auto" w:sz="4" w:space="0"/>
              <w:right w:val="single" w:color="auto" w:sz="4" w:space="0"/>
            </w:tcBorders>
            <w:vAlign w:val="center"/>
          </w:tcPr>
          <w:p>
            <w:pPr>
              <w:ind w:firstLine="480"/>
              <w:jc w:val="center"/>
            </w:pPr>
            <w:r>
              <w:t>31</w:t>
            </w:r>
          </w:p>
        </w:tc>
        <w:tc>
          <w:tcPr>
            <w:tcW w:w="1134" w:type="dxa"/>
            <w:tcBorders>
              <w:top w:val="nil"/>
              <w:left w:val="nil"/>
              <w:bottom w:val="single" w:color="auto" w:sz="4" w:space="0"/>
              <w:right w:val="single" w:color="auto" w:sz="4" w:space="0"/>
            </w:tcBorders>
            <w:vAlign w:val="center"/>
          </w:tcPr>
          <w:p>
            <w:pPr>
              <w:ind w:firstLine="480"/>
              <w:jc w:val="center"/>
            </w:pPr>
            <w:r>
              <w:t>20</w:t>
            </w:r>
          </w:p>
        </w:tc>
        <w:tc>
          <w:tcPr>
            <w:tcW w:w="1418" w:type="dxa"/>
            <w:tcBorders>
              <w:top w:val="nil"/>
              <w:left w:val="nil"/>
              <w:bottom w:val="single" w:color="auto" w:sz="4" w:space="0"/>
              <w:right w:val="single" w:color="auto" w:sz="4" w:space="0"/>
            </w:tcBorders>
            <w:vAlign w:val="center"/>
          </w:tcPr>
          <w:p>
            <w:pPr>
              <w:ind w:firstLine="480"/>
              <w:jc w:val="center"/>
            </w:pPr>
            <w:r>
              <w:t>1600</w:t>
            </w:r>
          </w:p>
        </w:tc>
        <w:tc>
          <w:tcPr>
            <w:tcW w:w="1417" w:type="dxa"/>
            <w:tcBorders>
              <w:top w:val="nil"/>
              <w:left w:val="nil"/>
              <w:bottom w:val="single" w:color="auto" w:sz="4" w:space="0"/>
              <w:right w:val="single" w:color="auto" w:sz="4" w:space="0"/>
            </w:tcBorders>
            <w:vAlign w:val="center"/>
          </w:tcPr>
          <w:p>
            <w:pPr>
              <w:ind w:firstLine="480"/>
              <w:jc w:val="center"/>
            </w:pPr>
            <w:r>
              <w:t>16</w:t>
            </w:r>
          </w:p>
        </w:tc>
        <w:tc>
          <w:tcPr>
            <w:tcW w:w="1418" w:type="dxa"/>
            <w:tcBorders>
              <w:top w:val="nil"/>
              <w:left w:val="nil"/>
              <w:bottom w:val="single" w:color="auto" w:sz="4" w:space="0"/>
              <w:right w:val="single" w:color="auto" w:sz="4" w:space="0"/>
            </w:tcBorders>
            <w:vAlign w:val="center"/>
          </w:tcPr>
          <w:p>
            <w:pPr>
              <w:ind w:firstLine="480"/>
              <w:jc w:val="center"/>
            </w:pPr>
            <w:r>
              <w:t>6</w:t>
            </w:r>
          </w:p>
        </w:tc>
        <w:tc>
          <w:tcPr>
            <w:tcW w:w="1417" w:type="dxa"/>
            <w:tcBorders>
              <w:top w:val="nil"/>
              <w:left w:val="nil"/>
              <w:bottom w:val="single" w:color="auto" w:sz="4" w:space="0"/>
              <w:right w:val="single" w:color="auto" w:sz="4" w:space="0"/>
            </w:tcBorders>
            <w:vAlign w:val="center"/>
          </w:tcPr>
          <w:p>
            <w:pPr>
              <w:ind w:firstLine="480"/>
              <w:jc w:val="center"/>
            </w:pPr>
            <w:r>
              <w:t>8</w:t>
            </w:r>
          </w:p>
        </w:tc>
      </w:tr>
      <w:tr>
        <w:tblPrEx>
          <w:tblCellMar>
            <w:top w:w="0" w:type="dxa"/>
            <w:left w:w="108" w:type="dxa"/>
            <w:bottom w:w="0" w:type="dxa"/>
            <w:right w:w="108" w:type="dxa"/>
          </w:tblCellMar>
        </w:tblPrEx>
        <w:trPr>
          <w:trHeight w:val="420" w:hRule="atLeast"/>
        </w:trPr>
        <w:tc>
          <w:tcPr>
            <w:tcW w:w="865" w:type="dxa"/>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r>
              <w:rPr>
                <w:sz w:val="18"/>
                <w:szCs w:val="18"/>
              </w:rPr>
              <w:t>007</w:t>
            </w:r>
          </w:p>
        </w:tc>
        <w:tc>
          <w:tcPr>
            <w:tcW w:w="1560" w:type="dxa"/>
            <w:tcBorders>
              <w:top w:val="nil"/>
              <w:left w:val="nil"/>
              <w:bottom w:val="single" w:color="auto" w:sz="4" w:space="0"/>
              <w:right w:val="single" w:color="auto" w:sz="4" w:space="0"/>
            </w:tcBorders>
            <w:vAlign w:val="center"/>
          </w:tcPr>
          <w:p>
            <w:pPr>
              <w:ind w:firstLine="360"/>
              <w:jc w:val="center"/>
              <w:rPr>
                <w:sz w:val="18"/>
                <w:szCs w:val="18"/>
              </w:rPr>
            </w:pPr>
            <w:r>
              <w:rPr>
                <w:sz w:val="18"/>
                <w:szCs w:val="18"/>
              </w:rPr>
              <w:t>0901</w:t>
            </w:r>
          </w:p>
        </w:tc>
        <w:tc>
          <w:tcPr>
            <w:tcW w:w="2268" w:type="dxa"/>
            <w:tcBorders>
              <w:top w:val="nil"/>
              <w:left w:val="nil"/>
              <w:bottom w:val="single" w:color="auto" w:sz="4" w:space="0"/>
              <w:right w:val="single" w:color="auto" w:sz="4" w:space="0"/>
            </w:tcBorders>
            <w:vAlign w:val="center"/>
          </w:tcPr>
          <w:p>
            <w:pPr>
              <w:ind w:firstLine="360"/>
              <w:jc w:val="center"/>
              <w:rPr>
                <w:rFonts w:ascii="宋体" w:hAnsi="宋体" w:cs="宋体"/>
                <w:color w:val="000000"/>
                <w:sz w:val="18"/>
                <w:szCs w:val="18"/>
              </w:rPr>
            </w:pPr>
            <w:r>
              <w:rPr>
                <w:rFonts w:hint="eastAsia"/>
                <w:color w:val="000000"/>
                <w:sz w:val="18"/>
                <w:szCs w:val="18"/>
              </w:rPr>
              <w:t>计算机应用</w:t>
            </w:r>
          </w:p>
        </w:tc>
        <w:tc>
          <w:tcPr>
            <w:tcW w:w="1985"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计算机操作员</w:t>
            </w:r>
          </w:p>
        </w:tc>
        <w:tc>
          <w:tcPr>
            <w:tcW w:w="1417" w:type="dxa"/>
            <w:tcBorders>
              <w:top w:val="nil"/>
              <w:left w:val="nil"/>
              <w:bottom w:val="single" w:color="auto" w:sz="4" w:space="0"/>
              <w:right w:val="single" w:color="auto" w:sz="4" w:space="0"/>
            </w:tcBorders>
            <w:vAlign w:val="center"/>
          </w:tcPr>
          <w:p>
            <w:pPr>
              <w:ind w:firstLine="480"/>
              <w:jc w:val="center"/>
            </w:pPr>
            <w:r>
              <w:t>59</w:t>
            </w:r>
          </w:p>
        </w:tc>
        <w:tc>
          <w:tcPr>
            <w:tcW w:w="1134" w:type="dxa"/>
            <w:tcBorders>
              <w:top w:val="nil"/>
              <w:left w:val="nil"/>
              <w:bottom w:val="single" w:color="auto" w:sz="4" w:space="0"/>
              <w:right w:val="single" w:color="auto" w:sz="4" w:space="0"/>
            </w:tcBorders>
            <w:vAlign w:val="center"/>
          </w:tcPr>
          <w:p>
            <w:pPr>
              <w:ind w:firstLine="480"/>
              <w:jc w:val="center"/>
            </w:pPr>
            <w:r>
              <w:t>47</w:t>
            </w:r>
          </w:p>
        </w:tc>
        <w:tc>
          <w:tcPr>
            <w:tcW w:w="1418" w:type="dxa"/>
            <w:tcBorders>
              <w:top w:val="nil"/>
              <w:left w:val="nil"/>
              <w:bottom w:val="single" w:color="auto" w:sz="4" w:space="0"/>
              <w:right w:val="single" w:color="auto" w:sz="4" w:space="0"/>
            </w:tcBorders>
            <w:vAlign w:val="center"/>
          </w:tcPr>
          <w:p>
            <w:pPr>
              <w:ind w:firstLine="480"/>
              <w:jc w:val="center"/>
            </w:pPr>
            <w:r>
              <w:t>1600</w:t>
            </w:r>
          </w:p>
        </w:tc>
        <w:tc>
          <w:tcPr>
            <w:tcW w:w="1417" w:type="dxa"/>
            <w:tcBorders>
              <w:top w:val="nil"/>
              <w:left w:val="nil"/>
              <w:bottom w:val="single" w:color="auto" w:sz="4" w:space="0"/>
              <w:right w:val="single" w:color="auto" w:sz="4" w:space="0"/>
            </w:tcBorders>
            <w:vAlign w:val="center"/>
          </w:tcPr>
          <w:p>
            <w:pPr>
              <w:ind w:firstLine="480"/>
              <w:jc w:val="center"/>
            </w:pPr>
            <w:r>
              <w:t>36</w:t>
            </w:r>
          </w:p>
        </w:tc>
        <w:tc>
          <w:tcPr>
            <w:tcW w:w="1418" w:type="dxa"/>
            <w:tcBorders>
              <w:top w:val="nil"/>
              <w:left w:val="nil"/>
              <w:bottom w:val="single" w:color="auto" w:sz="4" w:space="0"/>
              <w:right w:val="single" w:color="auto" w:sz="4" w:space="0"/>
            </w:tcBorders>
            <w:vAlign w:val="center"/>
          </w:tcPr>
          <w:p>
            <w:pPr>
              <w:ind w:firstLine="480"/>
              <w:jc w:val="center"/>
            </w:pPr>
            <w:r>
              <w:t>3</w:t>
            </w:r>
          </w:p>
        </w:tc>
        <w:tc>
          <w:tcPr>
            <w:tcW w:w="1417" w:type="dxa"/>
            <w:tcBorders>
              <w:top w:val="nil"/>
              <w:left w:val="nil"/>
              <w:bottom w:val="single" w:color="auto" w:sz="4" w:space="0"/>
              <w:right w:val="single" w:color="auto" w:sz="4" w:space="0"/>
            </w:tcBorders>
            <w:vAlign w:val="center"/>
          </w:tcPr>
          <w:p>
            <w:pPr>
              <w:ind w:firstLine="480"/>
              <w:jc w:val="center"/>
            </w:pPr>
            <w:r>
              <w:t>5</w:t>
            </w:r>
          </w:p>
        </w:tc>
      </w:tr>
      <w:tr>
        <w:tblPrEx>
          <w:tblCellMar>
            <w:top w:w="0" w:type="dxa"/>
            <w:left w:w="108" w:type="dxa"/>
            <w:bottom w:w="0" w:type="dxa"/>
            <w:right w:w="108" w:type="dxa"/>
          </w:tblCellMar>
        </w:tblPrEx>
        <w:trPr>
          <w:trHeight w:val="413" w:hRule="atLeast"/>
        </w:trPr>
        <w:tc>
          <w:tcPr>
            <w:tcW w:w="865" w:type="dxa"/>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r>
              <w:rPr>
                <w:sz w:val="18"/>
                <w:szCs w:val="18"/>
              </w:rPr>
              <w:t>008</w:t>
            </w:r>
          </w:p>
        </w:tc>
        <w:tc>
          <w:tcPr>
            <w:tcW w:w="1560" w:type="dxa"/>
            <w:tcBorders>
              <w:top w:val="nil"/>
              <w:left w:val="nil"/>
              <w:bottom w:val="single" w:color="auto" w:sz="4" w:space="0"/>
              <w:right w:val="single" w:color="auto" w:sz="4" w:space="0"/>
            </w:tcBorders>
            <w:vAlign w:val="center"/>
          </w:tcPr>
          <w:p>
            <w:pPr>
              <w:ind w:firstLine="360"/>
              <w:jc w:val="center"/>
              <w:rPr>
                <w:sz w:val="18"/>
                <w:szCs w:val="18"/>
              </w:rPr>
            </w:pPr>
            <w:r>
              <w:rPr>
                <w:sz w:val="18"/>
                <w:szCs w:val="18"/>
              </w:rPr>
              <w:t>1201</w:t>
            </w:r>
          </w:p>
        </w:tc>
        <w:tc>
          <w:tcPr>
            <w:tcW w:w="2268" w:type="dxa"/>
            <w:tcBorders>
              <w:top w:val="nil"/>
              <w:left w:val="nil"/>
              <w:bottom w:val="single" w:color="auto" w:sz="4" w:space="0"/>
              <w:right w:val="single" w:color="auto" w:sz="4" w:space="0"/>
            </w:tcBorders>
            <w:vAlign w:val="center"/>
          </w:tcPr>
          <w:p>
            <w:pPr>
              <w:ind w:firstLine="360"/>
              <w:jc w:val="center"/>
              <w:rPr>
                <w:rFonts w:ascii="宋体" w:hAnsi="宋体" w:cs="宋体"/>
                <w:color w:val="000000"/>
                <w:sz w:val="18"/>
                <w:szCs w:val="18"/>
              </w:rPr>
            </w:pPr>
            <w:r>
              <w:rPr>
                <w:rFonts w:hint="eastAsia"/>
                <w:color w:val="000000"/>
                <w:sz w:val="18"/>
                <w:szCs w:val="18"/>
              </w:rPr>
              <w:t>会计</w:t>
            </w:r>
          </w:p>
        </w:tc>
        <w:tc>
          <w:tcPr>
            <w:tcW w:w="1985"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会计从业资格证书</w:t>
            </w:r>
          </w:p>
        </w:tc>
        <w:tc>
          <w:tcPr>
            <w:tcW w:w="1417" w:type="dxa"/>
            <w:tcBorders>
              <w:top w:val="nil"/>
              <w:left w:val="nil"/>
              <w:bottom w:val="single" w:color="auto" w:sz="4" w:space="0"/>
              <w:right w:val="single" w:color="auto" w:sz="4" w:space="0"/>
            </w:tcBorders>
            <w:vAlign w:val="center"/>
          </w:tcPr>
          <w:p>
            <w:pPr>
              <w:ind w:firstLine="480"/>
              <w:jc w:val="center"/>
            </w:pPr>
            <w:r>
              <w:t>67</w:t>
            </w:r>
          </w:p>
        </w:tc>
        <w:tc>
          <w:tcPr>
            <w:tcW w:w="1134" w:type="dxa"/>
            <w:tcBorders>
              <w:top w:val="nil"/>
              <w:left w:val="nil"/>
              <w:bottom w:val="single" w:color="auto" w:sz="4" w:space="0"/>
              <w:right w:val="single" w:color="auto" w:sz="4" w:space="0"/>
            </w:tcBorders>
            <w:vAlign w:val="center"/>
          </w:tcPr>
          <w:p>
            <w:pPr>
              <w:ind w:firstLine="480"/>
              <w:jc w:val="center"/>
            </w:pPr>
            <w:r>
              <w:t>51</w:t>
            </w:r>
          </w:p>
        </w:tc>
        <w:tc>
          <w:tcPr>
            <w:tcW w:w="1418" w:type="dxa"/>
            <w:tcBorders>
              <w:top w:val="nil"/>
              <w:left w:val="nil"/>
              <w:bottom w:val="single" w:color="auto" w:sz="4" w:space="0"/>
              <w:right w:val="single" w:color="auto" w:sz="4" w:space="0"/>
            </w:tcBorders>
            <w:vAlign w:val="center"/>
          </w:tcPr>
          <w:p>
            <w:pPr>
              <w:ind w:firstLine="480"/>
              <w:jc w:val="center"/>
            </w:pPr>
            <w:r>
              <w:t>1800</w:t>
            </w:r>
          </w:p>
        </w:tc>
        <w:tc>
          <w:tcPr>
            <w:tcW w:w="1417" w:type="dxa"/>
            <w:tcBorders>
              <w:top w:val="nil"/>
              <w:left w:val="nil"/>
              <w:bottom w:val="single" w:color="auto" w:sz="4" w:space="0"/>
              <w:right w:val="single" w:color="auto" w:sz="4" w:space="0"/>
            </w:tcBorders>
            <w:vAlign w:val="center"/>
          </w:tcPr>
          <w:p>
            <w:pPr>
              <w:ind w:firstLine="480"/>
              <w:jc w:val="center"/>
            </w:pPr>
            <w:r>
              <w:t>42</w:t>
            </w:r>
          </w:p>
        </w:tc>
        <w:tc>
          <w:tcPr>
            <w:tcW w:w="1418" w:type="dxa"/>
            <w:tcBorders>
              <w:top w:val="nil"/>
              <w:left w:val="nil"/>
              <w:bottom w:val="single" w:color="auto" w:sz="4" w:space="0"/>
              <w:right w:val="single" w:color="auto" w:sz="4" w:space="0"/>
            </w:tcBorders>
            <w:vAlign w:val="center"/>
          </w:tcPr>
          <w:p>
            <w:pPr>
              <w:ind w:firstLine="480"/>
              <w:jc w:val="center"/>
            </w:pPr>
            <w:r>
              <w:t>2</w:t>
            </w:r>
          </w:p>
        </w:tc>
        <w:tc>
          <w:tcPr>
            <w:tcW w:w="1417" w:type="dxa"/>
            <w:tcBorders>
              <w:top w:val="nil"/>
              <w:left w:val="nil"/>
              <w:bottom w:val="single" w:color="auto" w:sz="4" w:space="0"/>
              <w:right w:val="single" w:color="auto" w:sz="4" w:space="0"/>
            </w:tcBorders>
            <w:vAlign w:val="center"/>
          </w:tcPr>
          <w:p>
            <w:pPr>
              <w:ind w:firstLine="480"/>
              <w:jc w:val="center"/>
            </w:pPr>
            <w:r>
              <w:t>13</w:t>
            </w:r>
          </w:p>
        </w:tc>
      </w:tr>
      <w:tr>
        <w:tblPrEx>
          <w:tblCellMar>
            <w:top w:w="0" w:type="dxa"/>
            <w:left w:w="108" w:type="dxa"/>
            <w:bottom w:w="0" w:type="dxa"/>
            <w:right w:w="108" w:type="dxa"/>
          </w:tblCellMar>
        </w:tblPrEx>
        <w:trPr>
          <w:trHeight w:val="417" w:hRule="atLeast"/>
        </w:trPr>
        <w:tc>
          <w:tcPr>
            <w:tcW w:w="865" w:type="dxa"/>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r>
              <w:rPr>
                <w:sz w:val="18"/>
                <w:szCs w:val="18"/>
              </w:rPr>
              <w:t>009</w:t>
            </w:r>
          </w:p>
        </w:tc>
        <w:tc>
          <w:tcPr>
            <w:tcW w:w="1560" w:type="dxa"/>
            <w:tcBorders>
              <w:top w:val="nil"/>
              <w:left w:val="nil"/>
              <w:bottom w:val="single" w:color="auto" w:sz="4" w:space="0"/>
              <w:right w:val="single" w:color="auto" w:sz="4" w:space="0"/>
            </w:tcBorders>
            <w:vAlign w:val="center"/>
          </w:tcPr>
          <w:p>
            <w:pPr>
              <w:ind w:firstLine="360"/>
              <w:jc w:val="center"/>
              <w:rPr>
                <w:sz w:val="18"/>
                <w:szCs w:val="18"/>
              </w:rPr>
            </w:pPr>
            <w:r>
              <w:rPr>
                <w:sz w:val="18"/>
                <w:szCs w:val="18"/>
              </w:rPr>
              <w:t>1211</w:t>
            </w:r>
          </w:p>
        </w:tc>
        <w:tc>
          <w:tcPr>
            <w:tcW w:w="2268" w:type="dxa"/>
            <w:tcBorders>
              <w:top w:val="nil"/>
              <w:left w:val="nil"/>
              <w:bottom w:val="single" w:color="auto" w:sz="4" w:space="0"/>
              <w:right w:val="single" w:color="auto" w:sz="4" w:space="0"/>
            </w:tcBorders>
            <w:vAlign w:val="center"/>
          </w:tcPr>
          <w:p>
            <w:pPr>
              <w:ind w:firstLine="360"/>
              <w:jc w:val="center"/>
              <w:rPr>
                <w:rFonts w:ascii="宋体" w:hAnsi="宋体" w:cs="宋体"/>
                <w:color w:val="000000"/>
                <w:sz w:val="18"/>
                <w:szCs w:val="18"/>
              </w:rPr>
            </w:pPr>
            <w:r>
              <w:rPr>
                <w:rFonts w:hint="eastAsia"/>
                <w:color w:val="000000"/>
                <w:sz w:val="18"/>
                <w:szCs w:val="18"/>
              </w:rPr>
              <w:t>电子商务</w:t>
            </w:r>
          </w:p>
        </w:tc>
        <w:tc>
          <w:tcPr>
            <w:tcW w:w="1985"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电子商务员（中级）</w:t>
            </w:r>
          </w:p>
        </w:tc>
        <w:tc>
          <w:tcPr>
            <w:tcW w:w="1417" w:type="dxa"/>
            <w:tcBorders>
              <w:top w:val="nil"/>
              <w:left w:val="nil"/>
              <w:bottom w:val="single" w:color="auto" w:sz="4" w:space="0"/>
              <w:right w:val="single" w:color="auto" w:sz="4" w:space="0"/>
            </w:tcBorders>
            <w:vAlign w:val="center"/>
          </w:tcPr>
          <w:p>
            <w:pPr>
              <w:ind w:firstLine="480"/>
              <w:jc w:val="center"/>
            </w:pPr>
            <w:r>
              <w:t>237</w:t>
            </w:r>
          </w:p>
        </w:tc>
        <w:tc>
          <w:tcPr>
            <w:tcW w:w="1134" w:type="dxa"/>
            <w:tcBorders>
              <w:top w:val="nil"/>
              <w:left w:val="nil"/>
              <w:bottom w:val="single" w:color="auto" w:sz="4" w:space="0"/>
              <w:right w:val="single" w:color="auto" w:sz="4" w:space="0"/>
            </w:tcBorders>
            <w:vAlign w:val="center"/>
          </w:tcPr>
          <w:p>
            <w:pPr>
              <w:ind w:firstLine="480"/>
              <w:jc w:val="center"/>
            </w:pPr>
            <w:r>
              <w:t>182</w:t>
            </w:r>
          </w:p>
        </w:tc>
        <w:tc>
          <w:tcPr>
            <w:tcW w:w="1418" w:type="dxa"/>
            <w:tcBorders>
              <w:top w:val="nil"/>
              <w:left w:val="nil"/>
              <w:bottom w:val="single" w:color="auto" w:sz="4" w:space="0"/>
              <w:right w:val="single" w:color="auto" w:sz="4" w:space="0"/>
            </w:tcBorders>
            <w:vAlign w:val="center"/>
          </w:tcPr>
          <w:p>
            <w:pPr>
              <w:ind w:firstLine="480"/>
              <w:jc w:val="center"/>
            </w:pPr>
            <w:r>
              <w:t>1800</w:t>
            </w:r>
          </w:p>
        </w:tc>
        <w:tc>
          <w:tcPr>
            <w:tcW w:w="1417" w:type="dxa"/>
            <w:tcBorders>
              <w:top w:val="nil"/>
              <w:left w:val="nil"/>
              <w:bottom w:val="single" w:color="auto" w:sz="4" w:space="0"/>
              <w:right w:val="single" w:color="auto" w:sz="4" w:space="0"/>
            </w:tcBorders>
            <w:vAlign w:val="center"/>
          </w:tcPr>
          <w:p>
            <w:pPr>
              <w:ind w:firstLine="480"/>
              <w:jc w:val="center"/>
            </w:pPr>
            <w:r>
              <w:t>162</w:t>
            </w:r>
          </w:p>
        </w:tc>
        <w:tc>
          <w:tcPr>
            <w:tcW w:w="1418" w:type="dxa"/>
            <w:tcBorders>
              <w:top w:val="nil"/>
              <w:left w:val="nil"/>
              <w:bottom w:val="single" w:color="auto" w:sz="4" w:space="0"/>
              <w:right w:val="single" w:color="auto" w:sz="4" w:space="0"/>
            </w:tcBorders>
            <w:vAlign w:val="center"/>
          </w:tcPr>
          <w:p>
            <w:pPr>
              <w:ind w:firstLine="480"/>
              <w:jc w:val="center"/>
            </w:pPr>
            <w:r>
              <w:t>15</w:t>
            </w:r>
          </w:p>
        </w:tc>
        <w:tc>
          <w:tcPr>
            <w:tcW w:w="1417" w:type="dxa"/>
            <w:tcBorders>
              <w:top w:val="nil"/>
              <w:left w:val="nil"/>
              <w:bottom w:val="single" w:color="auto" w:sz="4" w:space="0"/>
              <w:right w:val="single" w:color="auto" w:sz="4" w:space="0"/>
            </w:tcBorders>
            <w:vAlign w:val="center"/>
          </w:tcPr>
          <w:p>
            <w:pPr>
              <w:ind w:firstLine="480"/>
              <w:jc w:val="center"/>
            </w:pPr>
            <w:r>
              <w:t>51</w:t>
            </w:r>
          </w:p>
        </w:tc>
      </w:tr>
      <w:tr>
        <w:tblPrEx>
          <w:tblCellMar>
            <w:top w:w="0" w:type="dxa"/>
            <w:left w:w="108" w:type="dxa"/>
            <w:bottom w:w="0" w:type="dxa"/>
            <w:right w:w="108" w:type="dxa"/>
          </w:tblCellMar>
        </w:tblPrEx>
        <w:trPr>
          <w:trHeight w:val="424" w:hRule="atLeast"/>
        </w:trPr>
        <w:tc>
          <w:tcPr>
            <w:tcW w:w="865" w:type="dxa"/>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r>
              <w:rPr>
                <w:sz w:val="18"/>
                <w:szCs w:val="18"/>
              </w:rPr>
              <w:t>010</w:t>
            </w:r>
          </w:p>
        </w:tc>
        <w:tc>
          <w:tcPr>
            <w:tcW w:w="1560" w:type="dxa"/>
            <w:tcBorders>
              <w:top w:val="nil"/>
              <w:left w:val="nil"/>
              <w:bottom w:val="single" w:color="auto" w:sz="4" w:space="0"/>
              <w:right w:val="single" w:color="auto" w:sz="4" w:space="0"/>
            </w:tcBorders>
            <w:vAlign w:val="center"/>
          </w:tcPr>
          <w:p>
            <w:pPr>
              <w:ind w:firstLine="360"/>
              <w:jc w:val="center"/>
              <w:rPr>
                <w:sz w:val="18"/>
                <w:szCs w:val="18"/>
              </w:rPr>
            </w:pPr>
            <w:r>
              <w:rPr>
                <w:sz w:val="18"/>
                <w:szCs w:val="18"/>
              </w:rPr>
              <w:t>1601</w:t>
            </w:r>
          </w:p>
        </w:tc>
        <w:tc>
          <w:tcPr>
            <w:tcW w:w="2268" w:type="dxa"/>
            <w:tcBorders>
              <w:top w:val="nil"/>
              <w:left w:val="nil"/>
              <w:bottom w:val="single" w:color="auto" w:sz="4" w:space="0"/>
              <w:right w:val="single" w:color="auto" w:sz="4" w:space="0"/>
            </w:tcBorders>
            <w:vAlign w:val="center"/>
          </w:tcPr>
          <w:p>
            <w:pPr>
              <w:ind w:firstLine="360"/>
              <w:jc w:val="center"/>
              <w:rPr>
                <w:rFonts w:ascii="宋体" w:hAnsi="宋体" w:cs="宋体"/>
                <w:color w:val="000000"/>
                <w:sz w:val="18"/>
                <w:szCs w:val="18"/>
              </w:rPr>
            </w:pPr>
            <w:r>
              <w:rPr>
                <w:rFonts w:hint="eastAsia"/>
                <w:color w:val="000000"/>
                <w:sz w:val="18"/>
                <w:szCs w:val="18"/>
              </w:rPr>
              <w:t>学前教育</w:t>
            </w:r>
          </w:p>
        </w:tc>
        <w:tc>
          <w:tcPr>
            <w:tcW w:w="1985"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保育员</w:t>
            </w:r>
          </w:p>
        </w:tc>
        <w:tc>
          <w:tcPr>
            <w:tcW w:w="1417" w:type="dxa"/>
            <w:tcBorders>
              <w:top w:val="nil"/>
              <w:left w:val="nil"/>
              <w:bottom w:val="single" w:color="auto" w:sz="4" w:space="0"/>
              <w:right w:val="single" w:color="auto" w:sz="4" w:space="0"/>
            </w:tcBorders>
            <w:vAlign w:val="center"/>
          </w:tcPr>
          <w:p>
            <w:pPr>
              <w:ind w:firstLine="480"/>
              <w:jc w:val="center"/>
            </w:pPr>
            <w:r>
              <w:t>100</w:t>
            </w:r>
          </w:p>
        </w:tc>
        <w:tc>
          <w:tcPr>
            <w:tcW w:w="1134" w:type="dxa"/>
            <w:tcBorders>
              <w:top w:val="nil"/>
              <w:left w:val="nil"/>
              <w:bottom w:val="single" w:color="auto" w:sz="4" w:space="0"/>
              <w:right w:val="single" w:color="auto" w:sz="4" w:space="0"/>
            </w:tcBorders>
            <w:vAlign w:val="center"/>
          </w:tcPr>
          <w:p>
            <w:pPr>
              <w:ind w:firstLine="480"/>
              <w:jc w:val="center"/>
            </w:pPr>
            <w:r>
              <w:t>87</w:t>
            </w:r>
          </w:p>
        </w:tc>
        <w:tc>
          <w:tcPr>
            <w:tcW w:w="1418" w:type="dxa"/>
            <w:tcBorders>
              <w:top w:val="nil"/>
              <w:left w:val="nil"/>
              <w:bottom w:val="single" w:color="auto" w:sz="4" w:space="0"/>
              <w:right w:val="single" w:color="auto" w:sz="4" w:space="0"/>
            </w:tcBorders>
            <w:vAlign w:val="center"/>
          </w:tcPr>
          <w:p>
            <w:pPr>
              <w:ind w:firstLine="480"/>
              <w:jc w:val="center"/>
            </w:pPr>
            <w:r>
              <w:t>1600</w:t>
            </w:r>
          </w:p>
        </w:tc>
        <w:tc>
          <w:tcPr>
            <w:tcW w:w="1417" w:type="dxa"/>
            <w:tcBorders>
              <w:top w:val="nil"/>
              <w:left w:val="nil"/>
              <w:bottom w:val="single" w:color="auto" w:sz="4" w:space="0"/>
              <w:right w:val="single" w:color="auto" w:sz="4" w:space="0"/>
            </w:tcBorders>
            <w:vAlign w:val="center"/>
          </w:tcPr>
          <w:p>
            <w:pPr>
              <w:ind w:firstLine="480"/>
              <w:jc w:val="center"/>
            </w:pPr>
            <w:r>
              <w:t>74</w:t>
            </w:r>
          </w:p>
        </w:tc>
        <w:tc>
          <w:tcPr>
            <w:tcW w:w="1418" w:type="dxa"/>
            <w:tcBorders>
              <w:top w:val="nil"/>
              <w:left w:val="nil"/>
              <w:bottom w:val="single" w:color="auto" w:sz="4" w:space="0"/>
              <w:right w:val="single" w:color="auto" w:sz="4" w:space="0"/>
            </w:tcBorders>
            <w:vAlign w:val="center"/>
          </w:tcPr>
          <w:p>
            <w:pPr>
              <w:ind w:firstLine="480"/>
              <w:jc w:val="center"/>
            </w:pPr>
            <w:r>
              <w:t>3</w:t>
            </w:r>
          </w:p>
        </w:tc>
        <w:tc>
          <w:tcPr>
            <w:tcW w:w="1417" w:type="dxa"/>
            <w:tcBorders>
              <w:top w:val="nil"/>
              <w:left w:val="nil"/>
              <w:bottom w:val="single" w:color="auto" w:sz="4" w:space="0"/>
              <w:right w:val="single" w:color="auto" w:sz="4" w:space="0"/>
            </w:tcBorders>
            <w:vAlign w:val="center"/>
          </w:tcPr>
          <w:p>
            <w:pPr>
              <w:ind w:firstLine="480"/>
              <w:jc w:val="center"/>
            </w:pPr>
            <w:r>
              <w:t>12</w:t>
            </w:r>
          </w:p>
        </w:tc>
      </w:tr>
      <w:tr>
        <w:tblPrEx>
          <w:tblCellMar>
            <w:top w:w="0" w:type="dxa"/>
            <w:left w:w="108" w:type="dxa"/>
            <w:bottom w:w="0" w:type="dxa"/>
            <w:right w:w="108" w:type="dxa"/>
          </w:tblCellMar>
        </w:tblPrEx>
        <w:trPr>
          <w:trHeight w:val="625" w:hRule="atLeast"/>
        </w:trPr>
        <w:tc>
          <w:tcPr>
            <w:tcW w:w="865" w:type="dxa"/>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r>
              <w:rPr>
                <w:rFonts w:hint="eastAsia"/>
                <w:sz w:val="18"/>
                <w:szCs w:val="18"/>
              </w:rPr>
              <w:t>011</w:t>
            </w:r>
          </w:p>
        </w:tc>
        <w:tc>
          <w:tcPr>
            <w:tcW w:w="1560" w:type="dxa"/>
            <w:tcBorders>
              <w:top w:val="nil"/>
              <w:left w:val="nil"/>
              <w:bottom w:val="single" w:color="auto" w:sz="4" w:space="0"/>
              <w:right w:val="single" w:color="auto" w:sz="4" w:space="0"/>
            </w:tcBorders>
            <w:vAlign w:val="center"/>
          </w:tcPr>
          <w:p>
            <w:pPr>
              <w:ind w:firstLine="360"/>
              <w:jc w:val="center"/>
              <w:rPr>
                <w:rFonts w:ascii="宋体" w:hAnsi="宋体" w:cs="宋体"/>
                <w:color w:val="000000"/>
                <w:sz w:val="18"/>
                <w:szCs w:val="18"/>
              </w:rPr>
            </w:pPr>
            <w:r>
              <w:rPr>
                <w:rFonts w:hint="eastAsia"/>
                <w:color w:val="000000"/>
                <w:sz w:val="18"/>
                <w:szCs w:val="18"/>
              </w:rPr>
              <w:t>1422</w:t>
            </w:r>
          </w:p>
        </w:tc>
        <w:tc>
          <w:tcPr>
            <w:tcW w:w="2268" w:type="dxa"/>
            <w:tcBorders>
              <w:top w:val="nil"/>
              <w:left w:val="nil"/>
              <w:bottom w:val="single" w:color="auto" w:sz="4" w:space="0"/>
              <w:right w:val="single" w:color="auto" w:sz="4" w:space="0"/>
            </w:tcBorders>
            <w:vAlign w:val="center"/>
          </w:tcPr>
          <w:p>
            <w:pPr>
              <w:ind w:firstLine="360"/>
              <w:jc w:val="center"/>
              <w:rPr>
                <w:rFonts w:ascii="宋体" w:hAnsi="宋体" w:cs="宋体"/>
                <w:color w:val="000000"/>
                <w:sz w:val="18"/>
                <w:szCs w:val="18"/>
              </w:rPr>
            </w:pPr>
            <w:r>
              <w:rPr>
                <w:rFonts w:hint="eastAsia"/>
                <w:color w:val="000000"/>
                <w:sz w:val="18"/>
                <w:szCs w:val="18"/>
              </w:rPr>
              <w:t>美术设计与制作</w:t>
            </w:r>
          </w:p>
        </w:tc>
        <w:tc>
          <w:tcPr>
            <w:tcW w:w="1985"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多媒体作品制作员</w:t>
            </w:r>
          </w:p>
        </w:tc>
        <w:tc>
          <w:tcPr>
            <w:tcW w:w="1417" w:type="dxa"/>
            <w:tcBorders>
              <w:top w:val="nil"/>
              <w:left w:val="nil"/>
              <w:bottom w:val="single" w:color="auto" w:sz="4" w:space="0"/>
              <w:right w:val="single" w:color="auto" w:sz="4" w:space="0"/>
            </w:tcBorders>
            <w:vAlign w:val="center"/>
          </w:tcPr>
          <w:p>
            <w:pPr>
              <w:ind w:firstLine="480"/>
              <w:jc w:val="center"/>
            </w:pPr>
            <w:r>
              <w:t>22</w:t>
            </w:r>
          </w:p>
        </w:tc>
        <w:tc>
          <w:tcPr>
            <w:tcW w:w="1134" w:type="dxa"/>
            <w:tcBorders>
              <w:top w:val="nil"/>
              <w:left w:val="nil"/>
              <w:bottom w:val="single" w:color="auto" w:sz="4" w:space="0"/>
              <w:right w:val="single" w:color="auto" w:sz="4" w:space="0"/>
            </w:tcBorders>
            <w:vAlign w:val="center"/>
          </w:tcPr>
          <w:p>
            <w:pPr>
              <w:ind w:firstLine="480"/>
              <w:jc w:val="center"/>
            </w:pPr>
            <w:r>
              <w:t>15</w:t>
            </w:r>
          </w:p>
        </w:tc>
        <w:tc>
          <w:tcPr>
            <w:tcW w:w="1418" w:type="dxa"/>
            <w:tcBorders>
              <w:top w:val="nil"/>
              <w:left w:val="nil"/>
              <w:bottom w:val="single" w:color="auto" w:sz="4" w:space="0"/>
              <w:right w:val="single" w:color="auto" w:sz="4" w:space="0"/>
            </w:tcBorders>
            <w:vAlign w:val="center"/>
          </w:tcPr>
          <w:p>
            <w:pPr>
              <w:ind w:firstLine="480"/>
              <w:jc w:val="center"/>
            </w:pPr>
            <w:r>
              <w:t>1600</w:t>
            </w:r>
          </w:p>
        </w:tc>
        <w:tc>
          <w:tcPr>
            <w:tcW w:w="1417" w:type="dxa"/>
            <w:tcBorders>
              <w:top w:val="nil"/>
              <w:left w:val="nil"/>
              <w:bottom w:val="single" w:color="auto" w:sz="4" w:space="0"/>
              <w:right w:val="single" w:color="auto" w:sz="4" w:space="0"/>
            </w:tcBorders>
            <w:vAlign w:val="center"/>
          </w:tcPr>
          <w:p>
            <w:pPr>
              <w:ind w:firstLine="480"/>
              <w:jc w:val="center"/>
            </w:pPr>
            <w:r>
              <w:t>12</w:t>
            </w:r>
          </w:p>
        </w:tc>
        <w:tc>
          <w:tcPr>
            <w:tcW w:w="1418" w:type="dxa"/>
            <w:tcBorders>
              <w:top w:val="nil"/>
              <w:left w:val="nil"/>
              <w:bottom w:val="single" w:color="auto" w:sz="4" w:space="0"/>
              <w:right w:val="single" w:color="auto" w:sz="4" w:space="0"/>
            </w:tcBorders>
            <w:vAlign w:val="center"/>
          </w:tcPr>
          <w:p>
            <w:pPr>
              <w:ind w:firstLine="480"/>
              <w:jc w:val="center"/>
            </w:pPr>
            <w:r>
              <w:t>1</w:t>
            </w:r>
          </w:p>
        </w:tc>
        <w:tc>
          <w:tcPr>
            <w:tcW w:w="1417" w:type="dxa"/>
            <w:tcBorders>
              <w:top w:val="nil"/>
              <w:left w:val="nil"/>
              <w:bottom w:val="single" w:color="auto" w:sz="4" w:space="0"/>
              <w:right w:val="single" w:color="auto" w:sz="4" w:space="0"/>
            </w:tcBorders>
            <w:vAlign w:val="center"/>
          </w:tcPr>
          <w:p>
            <w:pPr>
              <w:ind w:firstLine="480"/>
              <w:jc w:val="center"/>
            </w:pPr>
            <w:r>
              <w:t>3</w:t>
            </w:r>
          </w:p>
        </w:tc>
      </w:tr>
    </w:tbl>
    <w:p>
      <w:pPr>
        <w:ind w:firstLine="843" w:firstLineChars="300"/>
        <w:rPr>
          <w:rFonts w:ascii="宋体" w:hAnsi="宋体" w:cs="宋体"/>
          <w:b/>
          <w:kern w:val="0"/>
          <w:sz w:val="28"/>
          <w:szCs w:val="28"/>
        </w:rPr>
      </w:pPr>
    </w:p>
    <w:p>
      <w:pPr>
        <w:ind w:firstLine="720" w:firstLineChars="300"/>
        <w:rPr>
          <w:rFonts w:ascii="宋体" w:hAnsi="宋体" w:cs="宋体"/>
          <w:b/>
          <w:kern w:val="0"/>
          <w:sz w:val="28"/>
          <w:szCs w:val="28"/>
        </w:rPr>
      </w:pPr>
      <w:r>
        <w:drawing>
          <wp:inline distT="0" distB="0" distL="0" distR="0">
            <wp:extent cx="8552180" cy="6158230"/>
            <wp:effectExtent l="0" t="0" r="20320" b="1397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ind w:firstLine="843" w:firstLineChars="300"/>
        <w:rPr>
          <w:rFonts w:ascii="宋体" w:hAnsi="宋体" w:cs="宋体"/>
          <w:b/>
          <w:kern w:val="0"/>
          <w:sz w:val="28"/>
          <w:szCs w:val="28"/>
        </w:rPr>
      </w:pPr>
    </w:p>
    <w:p>
      <w:pPr>
        <w:ind w:firstLine="843" w:firstLineChars="300"/>
        <w:rPr>
          <w:rFonts w:ascii="宋体" w:hAnsi="宋体" w:cs="宋体"/>
          <w:b/>
          <w:kern w:val="0"/>
          <w:sz w:val="28"/>
          <w:szCs w:val="28"/>
        </w:rPr>
      </w:pPr>
    </w:p>
    <w:p>
      <w:pPr>
        <w:ind w:firstLine="562"/>
        <w:rPr>
          <w:rFonts w:ascii="宋体" w:hAnsi="宋体"/>
          <w:b/>
          <w:sz w:val="28"/>
          <w:szCs w:val="28"/>
        </w:rPr>
      </w:pPr>
      <w:r>
        <w:rPr>
          <w:rFonts w:hint="eastAsia" w:ascii="宋体" w:hAnsi="宋体" w:cs="宋体"/>
          <w:b/>
          <w:kern w:val="0"/>
          <w:sz w:val="28"/>
          <w:szCs w:val="28"/>
        </w:rPr>
        <w:t>2017年毕业生就业情况</w:t>
      </w:r>
    </w:p>
    <w:tbl>
      <w:tblPr>
        <w:tblStyle w:val="14"/>
        <w:tblW w:w="0" w:type="auto"/>
        <w:tblInd w:w="-457" w:type="dxa"/>
        <w:tblLayout w:type="fixed"/>
        <w:tblCellMar>
          <w:top w:w="0" w:type="dxa"/>
          <w:left w:w="108" w:type="dxa"/>
          <w:bottom w:w="0" w:type="dxa"/>
          <w:right w:w="108" w:type="dxa"/>
        </w:tblCellMar>
      </w:tblPr>
      <w:tblGrid>
        <w:gridCol w:w="865"/>
        <w:gridCol w:w="1560"/>
        <w:gridCol w:w="2268"/>
        <w:gridCol w:w="1985"/>
        <w:gridCol w:w="1417"/>
        <w:gridCol w:w="1134"/>
        <w:gridCol w:w="1418"/>
        <w:gridCol w:w="1417"/>
        <w:gridCol w:w="1418"/>
        <w:gridCol w:w="1417"/>
      </w:tblGrid>
      <w:tr>
        <w:tblPrEx>
          <w:tblCellMar>
            <w:top w:w="0" w:type="dxa"/>
            <w:left w:w="108" w:type="dxa"/>
            <w:bottom w:w="0" w:type="dxa"/>
            <w:right w:w="108" w:type="dxa"/>
          </w:tblCellMar>
        </w:tblPrEx>
        <w:trPr>
          <w:trHeight w:val="1711" w:hRule="atLeast"/>
        </w:trPr>
        <w:tc>
          <w:tcPr>
            <w:tcW w:w="865" w:type="dxa"/>
            <w:tcBorders>
              <w:top w:val="single" w:color="auto" w:sz="4" w:space="0"/>
              <w:left w:val="single" w:color="auto" w:sz="4" w:space="0"/>
              <w:bottom w:val="single" w:color="auto" w:sz="4" w:space="0"/>
              <w:right w:val="single" w:color="auto" w:sz="4" w:space="0"/>
            </w:tcBorders>
            <w:shd w:val="clear" w:color="000000" w:fill="71DAFF"/>
            <w:vAlign w:val="center"/>
          </w:tcPr>
          <w:p>
            <w:pPr>
              <w:ind w:firstLine="0" w:firstLineChars="0"/>
              <w:jc w:val="center"/>
              <w:rPr>
                <w:sz w:val="18"/>
                <w:szCs w:val="18"/>
              </w:rPr>
            </w:pPr>
            <w:r>
              <w:rPr>
                <w:rFonts w:hint="eastAsia"/>
                <w:sz w:val="18"/>
                <w:szCs w:val="18"/>
              </w:rPr>
              <w:t>序号</w:t>
            </w:r>
          </w:p>
        </w:tc>
        <w:tc>
          <w:tcPr>
            <w:tcW w:w="1560" w:type="dxa"/>
            <w:tcBorders>
              <w:top w:val="single" w:color="auto" w:sz="4" w:space="0"/>
              <w:left w:val="single" w:color="auto" w:sz="4" w:space="0"/>
              <w:bottom w:val="single" w:color="auto" w:sz="4" w:space="0"/>
              <w:right w:val="single" w:color="auto" w:sz="4" w:space="0"/>
            </w:tcBorders>
            <w:shd w:val="clear" w:color="000000" w:fill="71DAFF"/>
            <w:vAlign w:val="center"/>
          </w:tcPr>
          <w:p>
            <w:pPr>
              <w:ind w:firstLine="0" w:firstLineChars="0"/>
              <w:jc w:val="center"/>
              <w:rPr>
                <w:sz w:val="18"/>
                <w:szCs w:val="18"/>
              </w:rPr>
            </w:pPr>
            <w:r>
              <w:rPr>
                <w:rFonts w:hint="eastAsia"/>
                <w:sz w:val="18"/>
                <w:szCs w:val="18"/>
              </w:rPr>
              <w:t>专业代码</w:t>
            </w:r>
          </w:p>
        </w:tc>
        <w:tc>
          <w:tcPr>
            <w:tcW w:w="2268" w:type="dxa"/>
            <w:tcBorders>
              <w:top w:val="single" w:color="auto" w:sz="4" w:space="0"/>
              <w:left w:val="single" w:color="auto" w:sz="4" w:space="0"/>
              <w:bottom w:val="single" w:color="auto" w:sz="4" w:space="0"/>
              <w:right w:val="single" w:color="auto" w:sz="4" w:space="0"/>
            </w:tcBorders>
            <w:shd w:val="clear" w:color="000000" w:fill="71DAFF"/>
            <w:vAlign w:val="center"/>
          </w:tcPr>
          <w:p>
            <w:pPr>
              <w:ind w:firstLine="0" w:firstLineChars="0"/>
              <w:jc w:val="center"/>
              <w:rPr>
                <w:sz w:val="18"/>
                <w:szCs w:val="18"/>
              </w:rPr>
            </w:pPr>
            <w:r>
              <w:rPr>
                <w:rFonts w:hint="eastAsia"/>
                <w:sz w:val="18"/>
                <w:szCs w:val="18"/>
              </w:rPr>
              <w:t>专业名称(全称)</w:t>
            </w:r>
          </w:p>
        </w:tc>
        <w:tc>
          <w:tcPr>
            <w:tcW w:w="1985" w:type="dxa"/>
            <w:tcBorders>
              <w:top w:val="single" w:color="auto" w:sz="4" w:space="0"/>
              <w:left w:val="single" w:color="auto" w:sz="4" w:space="0"/>
              <w:bottom w:val="single" w:color="auto" w:sz="4" w:space="0"/>
              <w:right w:val="single" w:color="auto" w:sz="4" w:space="0"/>
            </w:tcBorders>
            <w:shd w:val="clear" w:color="000000" w:fill="71DAFF"/>
            <w:vAlign w:val="center"/>
          </w:tcPr>
          <w:p>
            <w:pPr>
              <w:ind w:firstLine="0" w:firstLineChars="0"/>
              <w:jc w:val="center"/>
              <w:rPr>
                <w:sz w:val="18"/>
                <w:szCs w:val="18"/>
              </w:rPr>
            </w:pPr>
            <w:r>
              <w:rPr>
                <w:rFonts w:hint="eastAsia"/>
                <w:sz w:val="18"/>
                <w:szCs w:val="18"/>
              </w:rPr>
              <w:t>专业技能方向名称(全称)</w:t>
            </w:r>
          </w:p>
        </w:tc>
        <w:tc>
          <w:tcPr>
            <w:tcW w:w="1417" w:type="dxa"/>
            <w:tcBorders>
              <w:top w:val="single" w:color="auto" w:sz="4" w:space="0"/>
              <w:left w:val="single" w:color="auto" w:sz="4" w:space="0"/>
              <w:bottom w:val="single" w:color="auto" w:sz="4" w:space="0"/>
              <w:right w:val="single" w:color="auto" w:sz="4" w:space="0"/>
            </w:tcBorders>
            <w:shd w:val="clear" w:color="000000" w:fill="71DAFF"/>
            <w:vAlign w:val="center"/>
          </w:tcPr>
          <w:p>
            <w:pPr>
              <w:ind w:firstLine="0" w:firstLineChars="0"/>
              <w:jc w:val="center"/>
              <w:rPr>
                <w:sz w:val="18"/>
                <w:szCs w:val="18"/>
              </w:rPr>
            </w:pPr>
            <w:r>
              <w:rPr>
                <w:rFonts w:hint="eastAsia"/>
                <w:sz w:val="18"/>
                <w:szCs w:val="18"/>
              </w:rPr>
              <w:t>毕业生数（人）</w:t>
            </w:r>
          </w:p>
        </w:tc>
        <w:tc>
          <w:tcPr>
            <w:tcW w:w="1134" w:type="dxa"/>
            <w:tcBorders>
              <w:top w:val="single" w:color="auto" w:sz="4" w:space="0"/>
              <w:left w:val="nil"/>
              <w:bottom w:val="single" w:color="auto" w:sz="4" w:space="0"/>
              <w:right w:val="single" w:color="auto" w:sz="4" w:space="0"/>
            </w:tcBorders>
            <w:shd w:val="clear" w:color="000000" w:fill="71DAFF"/>
            <w:vAlign w:val="center"/>
          </w:tcPr>
          <w:p>
            <w:pPr>
              <w:ind w:firstLine="0" w:firstLineChars="0"/>
              <w:jc w:val="center"/>
              <w:rPr>
                <w:sz w:val="18"/>
                <w:szCs w:val="18"/>
              </w:rPr>
            </w:pPr>
            <w:r>
              <w:rPr>
                <w:rFonts w:hint="eastAsia"/>
                <w:sz w:val="18"/>
                <w:szCs w:val="18"/>
              </w:rPr>
              <w:t>直接就业数(人)</w:t>
            </w:r>
          </w:p>
        </w:tc>
        <w:tc>
          <w:tcPr>
            <w:tcW w:w="1418" w:type="dxa"/>
            <w:tcBorders>
              <w:top w:val="single" w:color="auto" w:sz="4" w:space="0"/>
              <w:left w:val="nil"/>
              <w:bottom w:val="single" w:color="auto" w:sz="4" w:space="0"/>
              <w:right w:val="single" w:color="auto" w:sz="4" w:space="0"/>
            </w:tcBorders>
            <w:shd w:val="clear" w:color="000000" w:fill="71DAFF"/>
            <w:vAlign w:val="center"/>
          </w:tcPr>
          <w:p>
            <w:pPr>
              <w:ind w:firstLine="0" w:firstLineChars="0"/>
              <w:jc w:val="center"/>
              <w:rPr>
                <w:sz w:val="18"/>
                <w:szCs w:val="18"/>
              </w:rPr>
            </w:pPr>
            <w:r>
              <w:rPr>
                <w:rFonts w:hint="eastAsia"/>
                <w:sz w:val="18"/>
                <w:szCs w:val="18"/>
              </w:rPr>
              <w:t>起薪线（元）</w:t>
            </w:r>
          </w:p>
        </w:tc>
        <w:tc>
          <w:tcPr>
            <w:tcW w:w="1417" w:type="dxa"/>
            <w:tcBorders>
              <w:top w:val="single" w:color="auto" w:sz="4" w:space="0"/>
              <w:left w:val="nil"/>
              <w:bottom w:val="single" w:color="auto" w:sz="4" w:space="0"/>
              <w:right w:val="single" w:color="auto" w:sz="4" w:space="0"/>
            </w:tcBorders>
            <w:shd w:val="clear" w:color="000000" w:fill="71DAFF"/>
            <w:vAlign w:val="center"/>
          </w:tcPr>
          <w:p>
            <w:pPr>
              <w:ind w:firstLine="0" w:firstLineChars="0"/>
              <w:jc w:val="center"/>
              <w:rPr>
                <w:sz w:val="18"/>
                <w:szCs w:val="18"/>
              </w:rPr>
            </w:pPr>
            <w:r>
              <w:rPr>
                <w:rFonts w:hint="eastAsia"/>
                <w:sz w:val="18"/>
                <w:szCs w:val="18"/>
              </w:rPr>
              <w:t>对口就业就业数(人)</w:t>
            </w:r>
          </w:p>
        </w:tc>
        <w:tc>
          <w:tcPr>
            <w:tcW w:w="1418" w:type="dxa"/>
            <w:tcBorders>
              <w:top w:val="single" w:color="auto" w:sz="4" w:space="0"/>
              <w:left w:val="nil"/>
              <w:bottom w:val="single" w:color="auto" w:sz="4" w:space="0"/>
              <w:right w:val="single" w:color="auto" w:sz="4" w:space="0"/>
            </w:tcBorders>
            <w:shd w:val="clear" w:color="000000" w:fill="71DAFF"/>
            <w:vAlign w:val="center"/>
          </w:tcPr>
          <w:p>
            <w:pPr>
              <w:ind w:firstLine="0" w:firstLineChars="0"/>
              <w:jc w:val="center"/>
              <w:rPr>
                <w:sz w:val="18"/>
                <w:szCs w:val="18"/>
              </w:rPr>
            </w:pPr>
            <w:r>
              <w:rPr>
                <w:rFonts w:hint="eastAsia"/>
                <w:sz w:val="18"/>
                <w:szCs w:val="18"/>
              </w:rPr>
              <w:t>创业数(人)</w:t>
            </w:r>
          </w:p>
        </w:tc>
        <w:tc>
          <w:tcPr>
            <w:tcW w:w="1417" w:type="dxa"/>
            <w:tcBorders>
              <w:top w:val="single" w:color="auto" w:sz="4" w:space="0"/>
              <w:left w:val="single" w:color="auto" w:sz="4" w:space="0"/>
              <w:bottom w:val="single" w:color="auto" w:sz="4" w:space="0"/>
              <w:right w:val="single" w:color="auto" w:sz="4" w:space="0"/>
            </w:tcBorders>
            <w:shd w:val="clear" w:color="000000" w:fill="71DAFF"/>
            <w:vAlign w:val="center"/>
          </w:tcPr>
          <w:p>
            <w:pPr>
              <w:ind w:firstLine="0" w:firstLineChars="0"/>
              <w:jc w:val="center"/>
              <w:rPr>
                <w:sz w:val="18"/>
                <w:szCs w:val="18"/>
              </w:rPr>
            </w:pPr>
            <w:r>
              <w:rPr>
                <w:rFonts w:hint="eastAsia"/>
                <w:sz w:val="18"/>
                <w:szCs w:val="18"/>
              </w:rPr>
              <w:t>毕业生升学数(人)</w:t>
            </w:r>
          </w:p>
        </w:tc>
      </w:tr>
      <w:tr>
        <w:tblPrEx>
          <w:tblCellMar>
            <w:top w:w="0" w:type="dxa"/>
            <w:left w:w="108" w:type="dxa"/>
            <w:bottom w:w="0" w:type="dxa"/>
            <w:right w:w="108" w:type="dxa"/>
          </w:tblCellMar>
        </w:tblPrEx>
        <w:trPr>
          <w:trHeight w:val="545" w:hRule="atLeast"/>
        </w:trPr>
        <w:tc>
          <w:tcPr>
            <w:tcW w:w="865" w:type="dxa"/>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r>
              <w:rPr>
                <w:sz w:val="18"/>
                <w:szCs w:val="18"/>
              </w:rPr>
              <w:t>001</w:t>
            </w:r>
          </w:p>
        </w:tc>
        <w:tc>
          <w:tcPr>
            <w:tcW w:w="1560"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0912</w:t>
            </w:r>
          </w:p>
        </w:tc>
        <w:tc>
          <w:tcPr>
            <w:tcW w:w="226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电子与信息技术</w:t>
            </w:r>
          </w:p>
        </w:tc>
        <w:tc>
          <w:tcPr>
            <w:tcW w:w="1985" w:type="dxa"/>
            <w:tcBorders>
              <w:top w:val="nil"/>
              <w:left w:val="nil"/>
              <w:bottom w:val="single" w:color="auto" w:sz="4" w:space="0"/>
              <w:right w:val="single" w:color="auto" w:sz="4" w:space="0"/>
            </w:tcBorders>
            <w:vAlign w:val="center"/>
          </w:tcPr>
          <w:p>
            <w:pPr>
              <w:ind w:firstLine="0" w:firstLineChars="0"/>
              <w:jc w:val="left"/>
              <w:rPr>
                <w:sz w:val="18"/>
                <w:szCs w:val="18"/>
              </w:rPr>
            </w:pPr>
            <w:r>
              <w:rPr>
                <w:rFonts w:hint="eastAsia"/>
                <w:sz w:val="18"/>
                <w:szCs w:val="18"/>
              </w:rPr>
              <w:t>电子设备装接工</w:t>
            </w:r>
          </w:p>
        </w:tc>
        <w:tc>
          <w:tcPr>
            <w:tcW w:w="1417"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28</w:t>
            </w:r>
          </w:p>
        </w:tc>
        <w:tc>
          <w:tcPr>
            <w:tcW w:w="1134" w:type="dxa"/>
            <w:tcBorders>
              <w:top w:val="single" w:color="auto" w:sz="4" w:space="0"/>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16</w:t>
            </w:r>
          </w:p>
        </w:tc>
        <w:tc>
          <w:tcPr>
            <w:tcW w:w="1418" w:type="dxa"/>
            <w:tcBorders>
              <w:top w:val="single" w:color="auto" w:sz="4" w:space="0"/>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1500</w:t>
            </w:r>
          </w:p>
        </w:tc>
        <w:tc>
          <w:tcPr>
            <w:tcW w:w="1417" w:type="dxa"/>
            <w:tcBorders>
              <w:top w:val="single" w:color="auto" w:sz="4" w:space="0"/>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7</w:t>
            </w:r>
          </w:p>
        </w:tc>
        <w:tc>
          <w:tcPr>
            <w:tcW w:w="1418" w:type="dxa"/>
            <w:tcBorders>
              <w:top w:val="single" w:color="auto" w:sz="4" w:space="0"/>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w:t>
            </w:r>
          </w:p>
        </w:tc>
        <w:tc>
          <w:tcPr>
            <w:tcW w:w="1417"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11</w:t>
            </w:r>
          </w:p>
        </w:tc>
      </w:tr>
      <w:tr>
        <w:tblPrEx>
          <w:tblCellMar>
            <w:top w:w="0" w:type="dxa"/>
            <w:left w:w="108" w:type="dxa"/>
            <w:bottom w:w="0" w:type="dxa"/>
            <w:right w:w="108" w:type="dxa"/>
          </w:tblCellMar>
        </w:tblPrEx>
        <w:trPr>
          <w:trHeight w:val="567" w:hRule="atLeast"/>
        </w:trPr>
        <w:tc>
          <w:tcPr>
            <w:tcW w:w="865" w:type="dxa"/>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r>
              <w:rPr>
                <w:sz w:val="18"/>
                <w:szCs w:val="18"/>
              </w:rPr>
              <w:t>002</w:t>
            </w:r>
          </w:p>
        </w:tc>
        <w:tc>
          <w:tcPr>
            <w:tcW w:w="1560"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0514</w:t>
            </w:r>
          </w:p>
        </w:tc>
        <w:tc>
          <w:tcPr>
            <w:tcW w:w="226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数控技术应用</w:t>
            </w:r>
          </w:p>
        </w:tc>
        <w:tc>
          <w:tcPr>
            <w:tcW w:w="1985" w:type="dxa"/>
            <w:tcBorders>
              <w:top w:val="nil"/>
              <w:left w:val="nil"/>
              <w:bottom w:val="single" w:color="auto" w:sz="4" w:space="0"/>
              <w:right w:val="single" w:color="auto" w:sz="4" w:space="0"/>
            </w:tcBorders>
            <w:vAlign w:val="center"/>
          </w:tcPr>
          <w:p>
            <w:pPr>
              <w:ind w:firstLine="0" w:firstLineChars="0"/>
              <w:jc w:val="left"/>
              <w:rPr>
                <w:sz w:val="18"/>
                <w:szCs w:val="18"/>
              </w:rPr>
            </w:pPr>
            <w:r>
              <w:rPr>
                <w:rFonts w:hint="eastAsia"/>
                <w:sz w:val="18"/>
                <w:szCs w:val="18"/>
              </w:rPr>
              <w:t>数控车工</w:t>
            </w:r>
          </w:p>
        </w:tc>
        <w:tc>
          <w:tcPr>
            <w:tcW w:w="1417"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20</w:t>
            </w:r>
          </w:p>
        </w:tc>
        <w:tc>
          <w:tcPr>
            <w:tcW w:w="113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15</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1800</w:t>
            </w:r>
          </w:p>
        </w:tc>
        <w:tc>
          <w:tcPr>
            <w:tcW w:w="1417"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10</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0</w:t>
            </w:r>
          </w:p>
        </w:tc>
        <w:tc>
          <w:tcPr>
            <w:tcW w:w="1417"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w:t>
            </w:r>
          </w:p>
        </w:tc>
      </w:tr>
      <w:tr>
        <w:tblPrEx>
          <w:tblCellMar>
            <w:top w:w="0" w:type="dxa"/>
            <w:left w:w="108" w:type="dxa"/>
            <w:bottom w:w="0" w:type="dxa"/>
            <w:right w:w="108" w:type="dxa"/>
          </w:tblCellMar>
        </w:tblPrEx>
        <w:trPr>
          <w:trHeight w:val="547" w:hRule="atLeast"/>
        </w:trPr>
        <w:tc>
          <w:tcPr>
            <w:tcW w:w="865" w:type="dxa"/>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r>
              <w:rPr>
                <w:sz w:val="18"/>
                <w:szCs w:val="18"/>
              </w:rPr>
              <w:t>003</w:t>
            </w:r>
          </w:p>
        </w:tc>
        <w:tc>
          <w:tcPr>
            <w:tcW w:w="1560"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0513</w:t>
            </w:r>
          </w:p>
        </w:tc>
        <w:tc>
          <w:tcPr>
            <w:tcW w:w="226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机电技术应用</w:t>
            </w:r>
          </w:p>
        </w:tc>
        <w:tc>
          <w:tcPr>
            <w:tcW w:w="1985" w:type="dxa"/>
            <w:tcBorders>
              <w:top w:val="nil"/>
              <w:left w:val="nil"/>
              <w:bottom w:val="single" w:color="auto" w:sz="4" w:space="0"/>
              <w:right w:val="single" w:color="auto" w:sz="4" w:space="0"/>
            </w:tcBorders>
            <w:vAlign w:val="center"/>
          </w:tcPr>
          <w:p>
            <w:pPr>
              <w:ind w:firstLine="0" w:firstLineChars="0"/>
              <w:jc w:val="left"/>
              <w:rPr>
                <w:sz w:val="18"/>
                <w:szCs w:val="18"/>
              </w:rPr>
            </w:pPr>
            <w:r>
              <w:rPr>
                <w:rFonts w:hint="eastAsia"/>
                <w:sz w:val="18"/>
                <w:szCs w:val="18"/>
              </w:rPr>
              <w:t>机修钳工</w:t>
            </w:r>
          </w:p>
        </w:tc>
        <w:tc>
          <w:tcPr>
            <w:tcW w:w="1417"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47</w:t>
            </w:r>
          </w:p>
        </w:tc>
        <w:tc>
          <w:tcPr>
            <w:tcW w:w="113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34</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1700</w:t>
            </w:r>
          </w:p>
        </w:tc>
        <w:tc>
          <w:tcPr>
            <w:tcW w:w="1417"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18</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3</w:t>
            </w:r>
          </w:p>
        </w:tc>
        <w:tc>
          <w:tcPr>
            <w:tcW w:w="1417"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11</w:t>
            </w:r>
          </w:p>
        </w:tc>
      </w:tr>
      <w:tr>
        <w:tblPrEx>
          <w:tblCellMar>
            <w:top w:w="0" w:type="dxa"/>
            <w:left w:w="108" w:type="dxa"/>
            <w:bottom w:w="0" w:type="dxa"/>
            <w:right w:w="108" w:type="dxa"/>
          </w:tblCellMar>
        </w:tblPrEx>
        <w:trPr>
          <w:trHeight w:val="569" w:hRule="atLeast"/>
        </w:trPr>
        <w:tc>
          <w:tcPr>
            <w:tcW w:w="865" w:type="dxa"/>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r>
              <w:rPr>
                <w:sz w:val="18"/>
                <w:szCs w:val="18"/>
              </w:rPr>
              <w:t>004</w:t>
            </w:r>
          </w:p>
        </w:tc>
        <w:tc>
          <w:tcPr>
            <w:tcW w:w="1560"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0825</w:t>
            </w:r>
          </w:p>
        </w:tc>
        <w:tc>
          <w:tcPr>
            <w:tcW w:w="226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汽车运用与维修</w:t>
            </w:r>
          </w:p>
        </w:tc>
        <w:tc>
          <w:tcPr>
            <w:tcW w:w="1985" w:type="dxa"/>
            <w:tcBorders>
              <w:top w:val="nil"/>
              <w:left w:val="nil"/>
              <w:bottom w:val="single" w:color="auto" w:sz="4" w:space="0"/>
              <w:right w:val="single" w:color="auto" w:sz="4" w:space="0"/>
            </w:tcBorders>
            <w:vAlign w:val="center"/>
          </w:tcPr>
          <w:p>
            <w:pPr>
              <w:ind w:firstLine="0" w:firstLineChars="0"/>
              <w:jc w:val="left"/>
              <w:rPr>
                <w:sz w:val="18"/>
                <w:szCs w:val="18"/>
              </w:rPr>
            </w:pPr>
            <w:r>
              <w:rPr>
                <w:rFonts w:hint="eastAsia"/>
                <w:sz w:val="18"/>
                <w:szCs w:val="18"/>
              </w:rPr>
              <w:t>机动车维修从业人员</w:t>
            </w:r>
          </w:p>
        </w:tc>
        <w:tc>
          <w:tcPr>
            <w:tcW w:w="1417"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51</w:t>
            </w:r>
          </w:p>
        </w:tc>
        <w:tc>
          <w:tcPr>
            <w:tcW w:w="113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43</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1650</w:t>
            </w:r>
          </w:p>
        </w:tc>
        <w:tc>
          <w:tcPr>
            <w:tcW w:w="1417"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32</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w:t>
            </w:r>
          </w:p>
        </w:tc>
        <w:tc>
          <w:tcPr>
            <w:tcW w:w="1417"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0</w:t>
            </w:r>
          </w:p>
        </w:tc>
      </w:tr>
      <w:tr>
        <w:tblPrEx>
          <w:tblCellMar>
            <w:top w:w="0" w:type="dxa"/>
            <w:left w:w="108" w:type="dxa"/>
            <w:bottom w:w="0" w:type="dxa"/>
            <w:right w:w="108" w:type="dxa"/>
          </w:tblCellMar>
        </w:tblPrEx>
        <w:trPr>
          <w:trHeight w:val="549" w:hRule="atLeast"/>
        </w:trPr>
        <w:tc>
          <w:tcPr>
            <w:tcW w:w="865" w:type="dxa"/>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r>
              <w:rPr>
                <w:sz w:val="18"/>
                <w:szCs w:val="18"/>
              </w:rPr>
              <w:t>005</w:t>
            </w:r>
          </w:p>
        </w:tc>
        <w:tc>
          <w:tcPr>
            <w:tcW w:w="1560"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0904</w:t>
            </w:r>
          </w:p>
        </w:tc>
        <w:tc>
          <w:tcPr>
            <w:tcW w:w="226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计算机动漫与游戏制作</w:t>
            </w:r>
          </w:p>
        </w:tc>
        <w:tc>
          <w:tcPr>
            <w:tcW w:w="1985" w:type="dxa"/>
            <w:tcBorders>
              <w:top w:val="nil"/>
              <w:left w:val="nil"/>
              <w:bottom w:val="single" w:color="auto" w:sz="4" w:space="0"/>
              <w:right w:val="single" w:color="auto" w:sz="4" w:space="0"/>
            </w:tcBorders>
            <w:vAlign w:val="center"/>
          </w:tcPr>
          <w:p>
            <w:pPr>
              <w:ind w:firstLine="0" w:firstLineChars="0"/>
              <w:jc w:val="left"/>
              <w:rPr>
                <w:sz w:val="18"/>
                <w:szCs w:val="18"/>
              </w:rPr>
            </w:pPr>
            <w:r>
              <w:rPr>
                <w:rFonts w:hint="eastAsia"/>
                <w:sz w:val="18"/>
                <w:szCs w:val="18"/>
              </w:rPr>
              <w:t>动漫与游戏制作员</w:t>
            </w:r>
          </w:p>
        </w:tc>
        <w:tc>
          <w:tcPr>
            <w:tcW w:w="1417"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21</w:t>
            </w:r>
          </w:p>
        </w:tc>
        <w:tc>
          <w:tcPr>
            <w:tcW w:w="113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15</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1600</w:t>
            </w:r>
          </w:p>
        </w:tc>
        <w:tc>
          <w:tcPr>
            <w:tcW w:w="1417"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8</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5</w:t>
            </w:r>
          </w:p>
        </w:tc>
        <w:tc>
          <w:tcPr>
            <w:tcW w:w="1417"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3</w:t>
            </w:r>
          </w:p>
        </w:tc>
      </w:tr>
      <w:tr>
        <w:tblPrEx>
          <w:tblCellMar>
            <w:top w:w="0" w:type="dxa"/>
            <w:left w:w="108" w:type="dxa"/>
            <w:bottom w:w="0" w:type="dxa"/>
            <w:right w:w="108" w:type="dxa"/>
          </w:tblCellMar>
        </w:tblPrEx>
        <w:trPr>
          <w:trHeight w:val="557" w:hRule="atLeast"/>
        </w:trPr>
        <w:tc>
          <w:tcPr>
            <w:tcW w:w="865" w:type="dxa"/>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r>
              <w:rPr>
                <w:sz w:val="18"/>
                <w:szCs w:val="18"/>
              </w:rPr>
              <w:t>006</w:t>
            </w:r>
          </w:p>
        </w:tc>
        <w:tc>
          <w:tcPr>
            <w:tcW w:w="1560"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0901</w:t>
            </w:r>
          </w:p>
        </w:tc>
        <w:tc>
          <w:tcPr>
            <w:tcW w:w="226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计算机应用</w:t>
            </w:r>
          </w:p>
        </w:tc>
        <w:tc>
          <w:tcPr>
            <w:tcW w:w="1985" w:type="dxa"/>
            <w:tcBorders>
              <w:top w:val="nil"/>
              <w:left w:val="nil"/>
              <w:bottom w:val="single" w:color="auto" w:sz="4" w:space="0"/>
              <w:right w:val="single" w:color="auto" w:sz="4" w:space="0"/>
            </w:tcBorders>
            <w:vAlign w:val="center"/>
          </w:tcPr>
          <w:p>
            <w:pPr>
              <w:ind w:firstLine="0" w:firstLineChars="0"/>
              <w:jc w:val="left"/>
              <w:rPr>
                <w:sz w:val="18"/>
                <w:szCs w:val="18"/>
              </w:rPr>
            </w:pPr>
            <w:r>
              <w:rPr>
                <w:rFonts w:hint="eastAsia"/>
                <w:sz w:val="18"/>
                <w:szCs w:val="18"/>
              </w:rPr>
              <w:t>计算机应用从业人员</w:t>
            </w:r>
          </w:p>
        </w:tc>
        <w:tc>
          <w:tcPr>
            <w:tcW w:w="1417"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39</w:t>
            </w:r>
          </w:p>
        </w:tc>
        <w:tc>
          <w:tcPr>
            <w:tcW w:w="113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32</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1550</w:t>
            </w:r>
          </w:p>
        </w:tc>
        <w:tc>
          <w:tcPr>
            <w:tcW w:w="1417"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19</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3</w:t>
            </w:r>
          </w:p>
        </w:tc>
        <w:tc>
          <w:tcPr>
            <w:tcW w:w="1417"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3</w:t>
            </w:r>
          </w:p>
        </w:tc>
      </w:tr>
      <w:tr>
        <w:tblPrEx>
          <w:tblCellMar>
            <w:top w:w="0" w:type="dxa"/>
            <w:left w:w="108" w:type="dxa"/>
            <w:bottom w:w="0" w:type="dxa"/>
            <w:right w:w="108" w:type="dxa"/>
          </w:tblCellMar>
        </w:tblPrEx>
        <w:trPr>
          <w:trHeight w:val="565" w:hRule="atLeast"/>
        </w:trPr>
        <w:tc>
          <w:tcPr>
            <w:tcW w:w="865" w:type="dxa"/>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r>
              <w:rPr>
                <w:sz w:val="18"/>
                <w:szCs w:val="18"/>
              </w:rPr>
              <w:t>007</w:t>
            </w:r>
          </w:p>
        </w:tc>
        <w:tc>
          <w:tcPr>
            <w:tcW w:w="1560"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1201</w:t>
            </w:r>
          </w:p>
        </w:tc>
        <w:tc>
          <w:tcPr>
            <w:tcW w:w="226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会计</w:t>
            </w:r>
          </w:p>
        </w:tc>
        <w:tc>
          <w:tcPr>
            <w:tcW w:w="1985" w:type="dxa"/>
            <w:tcBorders>
              <w:top w:val="nil"/>
              <w:left w:val="nil"/>
              <w:bottom w:val="single" w:color="auto" w:sz="4" w:space="0"/>
              <w:right w:val="single" w:color="auto" w:sz="4" w:space="0"/>
            </w:tcBorders>
            <w:vAlign w:val="center"/>
          </w:tcPr>
          <w:p>
            <w:pPr>
              <w:ind w:firstLine="0" w:firstLineChars="0"/>
              <w:jc w:val="left"/>
              <w:rPr>
                <w:sz w:val="18"/>
                <w:szCs w:val="18"/>
              </w:rPr>
            </w:pPr>
            <w:r>
              <w:rPr>
                <w:rFonts w:hint="eastAsia"/>
                <w:sz w:val="18"/>
                <w:szCs w:val="18"/>
              </w:rPr>
              <w:t>会计从业人员</w:t>
            </w:r>
          </w:p>
        </w:tc>
        <w:tc>
          <w:tcPr>
            <w:tcW w:w="1417"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88</w:t>
            </w:r>
          </w:p>
        </w:tc>
        <w:tc>
          <w:tcPr>
            <w:tcW w:w="113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74</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1500</w:t>
            </w:r>
          </w:p>
        </w:tc>
        <w:tc>
          <w:tcPr>
            <w:tcW w:w="1417"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48</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3</w:t>
            </w:r>
          </w:p>
        </w:tc>
        <w:tc>
          <w:tcPr>
            <w:tcW w:w="1417"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4</w:t>
            </w:r>
          </w:p>
        </w:tc>
      </w:tr>
      <w:tr>
        <w:tblPrEx>
          <w:tblCellMar>
            <w:top w:w="0" w:type="dxa"/>
            <w:left w:w="108" w:type="dxa"/>
            <w:bottom w:w="0" w:type="dxa"/>
            <w:right w:w="108" w:type="dxa"/>
          </w:tblCellMar>
        </w:tblPrEx>
        <w:trPr>
          <w:trHeight w:val="559" w:hRule="atLeast"/>
        </w:trPr>
        <w:tc>
          <w:tcPr>
            <w:tcW w:w="865" w:type="dxa"/>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r>
              <w:rPr>
                <w:sz w:val="18"/>
                <w:szCs w:val="18"/>
              </w:rPr>
              <w:t>008</w:t>
            </w:r>
          </w:p>
        </w:tc>
        <w:tc>
          <w:tcPr>
            <w:tcW w:w="1560"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1211</w:t>
            </w:r>
          </w:p>
        </w:tc>
        <w:tc>
          <w:tcPr>
            <w:tcW w:w="226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电子商务</w:t>
            </w:r>
          </w:p>
        </w:tc>
        <w:tc>
          <w:tcPr>
            <w:tcW w:w="1985" w:type="dxa"/>
            <w:tcBorders>
              <w:top w:val="nil"/>
              <w:left w:val="nil"/>
              <w:bottom w:val="single" w:color="auto" w:sz="4" w:space="0"/>
              <w:right w:val="single" w:color="auto" w:sz="4" w:space="0"/>
            </w:tcBorders>
            <w:vAlign w:val="center"/>
          </w:tcPr>
          <w:p>
            <w:pPr>
              <w:ind w:firstLine="0" w:firstLineChars="0"/>
              <w:jc w:val="left"/>
              <w:rPr>
                <w:sz w:val="18"/>
                <w:szCs w:val="18"/>
              </w:rPr>
            </w:pPr>
            <w:r>
              <w:rPr>
                <w:rFonts w:hint="eastAsia"/>
                <w:sz w:val="18"/>
                <w:szCs w:val="18"/>
              </w:rPr>
              <w:t>电子商务从业人员</w:t>
            </w:r>
          </w:p>
        </w:tc>
        <w:tc>
          <w:tcPr>
            <w:tcW w:w="1417"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148</w:t>
            </w:r>
          </w:p>
        </w:tc>
        <w:tc>
          <w:tcPr>
            <w:tcW w:w="113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118</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1650</w:t>
            </w:r>
          </w:p>
        </w:tc>
        <w:tc>
          <w:tcPr>
            <w:tcW w:w="1417"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88</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7</w:t>
            </w:r>
          </w:p>
        </w:tc>
        <w:tc>
          <w:tcPr>
            <w:tcW w:w="1417"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24</w:t>
            </w:r>
          </w:p>
        </w:tc>
      </w:tr>
      <w:tr>
        <w:tblPrEx>
          <w:tblCellMar>
            <w:top w:w="0" w:type="dxa"/>
            <w:left w:w="108" w:type="dxa"/>
            <w:bottom w:w="0" w:type="dxa"/>
            <w:right w:w="108" w:type="dxa"/>
          </w:tblCellMar>
        </w:tblPrEx>
        <w:trPr>
          <w:trHeight w:val="539" w:hRule="atLeast"/>
        </w:trPr>
        <w:tc>
          <w:tcPr>
            <w:tcW w:w="865" w:type="dxa"/>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r>
              <w:rPr>
                <w:sz w:val="18"/>
                <w:szCs w:val="18"/>
              </w:rPr>
              <w:t>009</w:t>
            </w:r>
          </w:p>
        </w:tc>
        <w:tc>
          <w:tcPr>
            <w:tcW w:w="1560"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1601</w:t>
            </w:r>
          </w:p>
        </w:tc>
        <w:tc>
          <w:tcPr>
            <w:tcW w:w="226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学前教育</w:t>
            </w:r>
          </w:p>
        </w:tc>
        <w:tc>
          <w:tcPr>
            <w:tcW w:w="1985" w:type="dxa"/>
            <w:tcBorders>
              <w:top w:val="nil"/>
              <w:left w:val="nil"/>
              <w:bottom w:val="single" w:color="auto" w:sz="4" w:space="0"/>
              <w:right w:val="single" w:color="auto" w:sz="4" w:space="0"/>
            </w:tcBorders>
            <w:vAlign w:val="center"/>
          </w:tcPr>
          <w:p>
            <w:pPr>
              <w:ind w:firstLine="0" w:firstLineChars="0"/>
              <w:jc w:val="left"/>
              <w:rPr>
                <w:sz w:val="18"/>
                <w:szCs w:val="18"/>
              </w:rPr>
            </w:pPr>
            <w:r>
              <w:rPr>
                <w:rFonts w:hint="eastAsia"/>
                <w:sz w:val="18"/>
                <w:szCs w:val="18"/>
              </w:rPr>
              <w:t>幼儿园教师、保育员</w:t>
            </w:r>
          </w:p>
        </w:tc>
        <w:tc>
          <w:tcPr>
            <w:tcW w:w="1417"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83</w:t>
            </w:r>
          </w:p>
        </w:tc>
        <w:tc>
          <w:tcPr>
            <w:tcW w:w="113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67</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1700</w:t>
            </w:r>
          </w:p>
        </w:tc>
        <w:tc>
          <w:tcPr>
            <w:tcW w:w="1417"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53</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2</w:t>
            </w:r>
          </w:p>
        </w:tc>
        <w:tc>
          <w:tcPr>
            <w:tcW w:w="1417"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9</w:t>
            </w:r>
          </w:p>
        </w:tc>
      </w:tr>
      <w:tr>
        <w:tblPrEx>
          <w:tblCellMar>
            <w:top w:w="0" w:type="dxa"/>
            <w:left w:w="108" w:type="dxa"/>
            <w:bottom w:w="0" w:type="dxa"/>
            <w:right w:w="108" w:type="dxa"/>
          </w:tblCellMar>
        </w:tblPrEx>
        <w:trPr>
          <w:trHeight w:val="575" w:hRule="atLeast"/>
        </w:trPr>
        <w:tc>
          <w:tcPr>
            <w:tcW w:w="865" w:type="dxa"/>
            <w:tcBorders>
              <w:top w:val="nil"/>
              <w:left w:val="single" w:color="auto" w:sz="4" w:space="0"/>
              <w:bottom w:val="single" w:color="auto" w:sz="4" w:space="0"/>
              <w:right w:val="single" w:color="auto" w:sz="4" w:space="0"/>
            </w:tcBorders>
            <w:vAlign w:val="center"/>
          </w:tcPr>
          <w:p>
            <w:pPr>
              <w:ind w:firstLine="0" w:firstLineChars="0"/>
              <w:jc w:val="center"/>
              <w:rPr>
                <w:sz w:val="18"/>
                <w:szCs w:val="18"/>
              </w:rPr>
            </w:pPr>
            <w:r>
              <w:rPr>
                <w:sz w:val="18"/>
                <w:szCs w:val="18"/>
              </w:rPr>
              <w:t>010</w:t>
            </w:r>
          </w:p>
        </w:tc>
        <w:tc>
          <w:tcPr>
            <w:tcW w:w="1560"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1422</w:t>
            </w:r>
          </w:p>
        </w:tc>
        <w:tc>
          <w:tcPr>
            <w:tcW w:w="226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美术设计与制作</w:t>
            </w:r>
          </w:p>
        </w:tc>
        <w:tc>
          <w:tcPr>
            <w:tcW w:w="1985" w:type="dxa"/>
            <w:tcBorders>
              <w:top w:val="nil"/>
              <w:left w:val="nil"/>
              <w:bottom w:val="single" w:color="auto" w:sz="4" w:space="0"/>
              <w:right w:val="single" w:color="auto" w:sz="4" w:space="0"/>
            </w:tcBorders>
            <w:vAlign w:val="center"/>
          </w:tcPr>
          <w:p>
            <w:pPr>
              <w:ind w:firstLine="0" w:firstLineChars="0"/>
              <w:jc w:val="left"/>
              <w:rPr>
                <w:sz w:val="18"/>
                <w:szCs w:val="18"/>
              </w:rPr>
            </w:pPr>
            <w:r>
              <w:rPr>
                <w:rFonts w:hint="eastAsia"/>
                <w:sz w:val="18"/>
                <w:szCs w:val="18"/>
              </w:rPr>
              <w:t>多媒体作品制作员</w:t>
            </w:r>
          </w:p>
        </w:tc>
        <w:tc>
          <w:tcPr>
            <w:tcW w:w="1417"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20</w:t>
            </w:r>
          </w:p>
        </w:tc>
        <w:tc>
          <w:tcPr>
            <w:tcW w:w="1134"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17</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1550</w:t>
            </w:r>
          </w:p>
        </w:tc>
        <w:tc>
          <w:tcPr>
            <w:tcW w:w="1417"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11</w:t>
            </w:r>
          </w:p>
        </w:tc>
        <w:tc>
          <w:tcPr>
            <w:tcW w:w="1418"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0</w:t>
            </w:r>
          </w:p>
        </w:tc>
        <w:tc>
          <w:tcPr>
            <w:tcW w:w="1417"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0</w:t>
            </w:r>
          </w:p>
        </w:tc>
      </w:tr>
    </w:tbl>
    <w:p>
      <w:pPr>
        <w:ind w:firstLine="562"/>
        <w:rPr>
          <w:rFonts w:ascii="宋体" w:hAnsi="宋体" w:cs="宋体"/>
          <w:b/>
          <w:kern w:val="0"/>
          <w:sz w:val="28"/>
          <w:szCs w:val="28"/>
        </w:rPr>
      </w:pPr>
    </w:p>
    <w:p>
      <w:pPr>
        <w:ind w:firstLine="562"/>
        <w:rPr>
          <w:rFonts w:ascii="宋体" w:hAnsi="宋体" w:cs="宋体"/>
          <w:b/>
          <w:kern w:val="0"/>
          <w:sz w:val="28"/>
          <w:szCs w:val="28"/>
        </w:rPr>
      </w:pPr>
    </w:p>
    <w:p>
      <w:pPr>
        <w:ind w:firstLine="480"/>
        <w:rPr>
          <w:rFonts w:ascii="宋体" w:hAnsi="宋体" w:cs="宋体"/>
          <w:b/>
          <w:kern w:val="0"/>
          <w:sz w:val="28"/>
          <w:szCs w:val="28"/>
        </w:rPr>
      </w:pPr>
      <w:r>
        <w:drawing>
          <wp:inline distT="0" distB="0" distL="0" distR="0">
            <wp:extent cx="8058785" cy="4768850"/>
            <wp:effectExtent l="0" t="0" r="18415" b="12700"/>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ind w:firstLine="0" w:firstLineChars="0"/>
        <w:rPr>
          <w:rFonts w:ascii="宋体" w:hAnsi="宋体"/>
          <w:b/>
          <w:sz w:val="28"/>
          <w:szCs w:val="28"/>
        </w:rPr>
      </w:pPr>
    </w:p>
    <w:p>
      <w:pPr>
        <w:ind w:firstLine="562"/>
        <w:rPr>
          <w:rFonts w:ascii="宋体" w:hAnsi="宋体"/>
          <w:b/>
          <w:sz w:val="28"/>
          <w:szCs w:val="28"/>
        </w:rPr>
      </w:pPr>
    </w:p>
    <w:p>
      <w:pPr>
        <w:ind w:firstLine="562"/>
        <w:rPr>
          <w:rFonts w:ascii="宋体" w:hAnsi="宋体"/>
          <w:b/>
          <w:sz w:val="28"/>
          <w:szCs w:val="28"/>
        </w:rPr>
      </w:pPr>
      <w:r>
        <w:rPr>
          <w:rFonts w:hint="eastAsia" w:ascii="宋体" w:hAnsi="宋体"/>
          <w:b/>
          <w:sz w:val="28"/>
          <w:szCs w:val="28"/>
        </w:rPr>
        <w:t>2017-2018年升入高等教育比例情况图</w:t>
      </w:r>
    </w:p>
    <w:p>
      <w:pPr>
        <w:ind w:firstLine="562"/>
        <w:rPr>
          <w:rFonts w:ascii="宋体" w:hAnsi="宋体"/>
          <w:b/>
          <w:sz w:val="28"/>
          <w:szCs w:val="28"/>
        </w:rPr>
      </w:pPr>
    </w:p>
    <w:p>
      <w:pPr>
        <w:ind w:left="-2" w:leftChars="-1" w:firstLine="1" w:firstLineChars="0"/>
        <w:rPr>
          <w:rFonts w:ascii="宋体" w:hAnsi="宋体"/>
          <w:b/>
          <w:sz w:val="28"/>
          <w:szCs w:val="28"/>
        </w:rPr>
        <w:sectPr>
          <w:pgSz w:w="16838" w:h="11906" w:orient="landscape"/>
          <w:pgMar w:top="425" w:right="1440" w:bottom="142" w:left="1440" w:header="851" w:footer="992" w:gutter="0"/>
          <w:cols w:space="720" w:num="1"/>
          <w:docGrid w:linePitch="326" w:charSpace="0"/>
        </w:sectPr>
      </w:pPr>
      <w:r>
        <w:drawing>
          <wp:inline distT="0" distB="0" distL="0" distR="0">
            <wp:extent cx="8587740" cy="4598670"/>
            <wp:effectExtent l="0" t="0" r="22860" b="1143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pStyle w:val="3"/>
      </w:pPr>
      <w:bookmarkStart w:id="59" w:name="_Toc505003775"/>
      <w:bookmarkStart w:id="60" w:name="_Toc29995125"/>
      <w:r>
        <w:rPr>
          <w:rFonts w:hint="eastAsia"/>
        </w:rPr>
        <w:t>2.5职业发展</w:t>
      </w:r>
      <w:bookmarkEnd w:id="59"/>
      <w:bookmarkEnd w:id="60"/>
    </w:p>
    <w:p>
      <w:pPr>
        <w:ind w:firstLine="480"/>
      </w:pPr>
      <w:r>
        <w:rPr>
          <w:rFonts w:hint="eastAsia"/>
        </w:rPr>
        <w:t>学校积极开展学生职业生涯规划指导工作，通过理论指导和专题训练，推进学生的职业发展。学校通过改革教学模式和教学评价方式，促进学生学会学习，培养了学生的学习能力。我校学生的岗位适应能力、岗位迁移能力、创新创业能力均得到了社会的好评，特别是得到了相关企业的信任。学校先后下发调查问卷350份，就毕业生工作后的情况进行调研,先从我校对于学生学习能力的培养、岗位适应能力、岗位迁移能力进行分析。</w:t>
      </w:r>
    </w:p>
    <w:p>
      <w:pPr>
        <w:pStyle w:val="4"/>
      </w:pPr>
      <w:bookmarkStart w:id="61" w:name="_Toc29995126"/>
      <w:bookmarkStart w:id="62" w:name="_Toc505003776"/>
      <w:r>
        <w:rPr>
          <w:rFonts w:hint="eastAsia"/>
        </w:rPr>
        <w:t>2.5.1学习能力</w:t>
      </w:r>
      <w:bookmarkEnd w:id="61"/>
      <w:bookmarkEnd w:id="62"/>
    </w:p>
    <w:p>
      <w:pPr>
        <w:pStyle w:val="10"/>
      </w:pPr>
      <w:bookmarkStart w:id="63" w:name="_Toc505003777"/>
      <w:bookmarkStart w:id="64" w:name="_Toc472000957"/>
      <w:bookmarkStart w:id="65" w:name="_Toc29995127"/>
      <w:r>
        <w:rPr>
          <w:rFonts w:hint="eastAsia"/>
        </w:rPr>
        <w:t>2.5.1.1学生学习能力现状分析</w:t>
      </w:r>
      <w:bookmarkEnd w:id="63"/>
      <w:bookmarkEnd w:id="64"/>
      <w:bookmarkEnd w:id="65"/>
    </w:p>
    <w:p>
      <w:pPr>
        <w:ind w:firstLine="480"/>
        <w:rPr>
          <w:rFonts w:ascii="仿宋_GB2312" w:hAnsi="Courier New" w:eastAsia="仿宋_GB2312"/>
        </w:rPr>
      </w:pPr>
      <w:r>
        <w:rPr>
          <w:rFonts w:hint="eastAsia" w:ascii="仿宋_GB2312" w:hAnsi="Courier New" w:eastAsia="仿宋_GB2312"/>
        </w:rPr>
        <w:t>2.5.1.1.1基础太薄弱</w:t>
      </w:r>
    </w:p>
    <w:p>
      <w:pPr>
        <w:ind w:firstLine="480"/>
        <w:sectPr>
          <w:pgSz w:w="11906" w:h="16838"/>
          <w:pgMar w:top="1440" w:right="1418" w:bottom="1440" w:left="1418" w:header="851" w:footer="992" w:gutter="0"/>
          <w:cols w:space="720" w:num="1"/>
          <w:docGrid w:linePitch="312" w:charSpace="0"/>
        </w:sectPr>
      </w:pPr>
      <w:r>
        <w:rPr>
          <w:rFonts w:hint="eastAsia"/>
        </w:rPr>
        <w:t>这个问题是多年来逐渐形成的，在上个世纪90年代，高考难度大，读上重点高中最终也很难考上大学，因此在初中毕业的时候，就会有部分基础好的学生会选择考取中专，而现在随着高考扩招的逐步推进，考上大学不再是难事，而家长又多数有能力负担孩子的大学读书费用，所以，成绩稍微好一点的孩子，宁愿进高中，也不会来到中职学校读书，这样就使得现在的中职学校招收的学生文化基础很差，尤其是数学。数学这门学科是锻炼逻辑思维能力的，在今后的学习中，有许多科目都经常要运用这方面的能力，这样直接影响了学生将来的学习。 </w:t>
      </w:r>
    </w:p>
    <w:p>
      <w:pPr>
        <w:ind w:firstLine="480"/>
      </w:pPr>
    </w:p>
    <w:p>
      <w:pPr>
        <w:ind w:firstLine="480"/>
      </w:pPr>
      <w:r>
        <w:rPr>
          <w:rFonts w:hint="eastAsia"/>
        </w:rPr>
        <w:t>因此由于传统观念的影响，现在中职学生的就业虽然出现了回暖，但是，中职学校能够招收到的学生文化素质还是依然很薄弱，参差不齐。</w:t>
      </w:r>
    </w:p>
    <w:p>
      <w:pPr>
        <w:ind w:firstLine="480"/>
        <w:rPr>
          <w:rFonts w:ascii="仿宋_GB2312" w:hAnsi="Courier New" w:eastAsia="仿宋_GB2312"/>
        </w:rPr>
      </w:pPr>
      <w:r>
        <w:rPr>
          <w:rFonts w:hint="eastAsia" w:ascii="仿宋_GB2312" w:hAnsi="Courier New" w:eastAsia="仿宋_GB2312"/>
        </w:rPr>
        <w:t>2.5.1.1.2缺乏学习兴趣</w:t>
      </w:r>
    </w:p>
    <w:p>
      <w:pPr>
        <w:ind w:firstLine="480"/>
      </w:pPr>
      <w:r>
        <w:rPr>
          <w:rFonts w:hint="eastAsia"/>
        </w:rPr>
        <w:t>正由于基础差，大多数是从初中或者高小开始，在学习上的挫败感就非常强烈，在一次又一次的失败中，由于没有正确的引导，甚至还受到一些不良思想的影响，学生渐渐地丧失了学习的兴趣，很多学生之所以坐在教室里，都不是因为自己想要来到学校，或是喜爱这个专业，多数都是家长要求孩子来学校，甚至有一些极端的例子，孩子来学校读书家长是付工资的，这个钱是除了学杂费，生活费等等之外的额外的一笔收入。也就是说，包括家长在内，有少数学生抱着混日子的心态，进入到了中职学校的生活环境中。没有学习的兴趣，后面的学习就成为了难题。教师在教学中调动学生的积极性也变得很难。</w:t>
      </w:r>
    </w:p>
    <w:p>
      <w:pPr>
        <w:ind w:firstLine="480"/>
        <w:rPr>
          <w:rFonts w:ascii="仿宋_GB2312" w:hAnsi="Courier New" w:eastAsia="仿宋_GB2312"/>
        </w:rPr>
      </w:pPr>
      <w:r>
        <w:rPr>
          <w:rFonts w:hint="eastAsia" w:ascii="仿宋_GB2312" w:hAnsi="Courier New" w:eastAsia="仿宋_GB2312"/>
        </w:rPr>
        <w:t>2.5.1.1.3目标不明确，没有进取心</w:t>
      </w:r>
    </w:p>
    <w:p>
      <w:pPr>
        <w:ind w:firstLine="480"/>
      </w:pPr>
      <w:r>
        <w:rPr>
          <w:rFonts w:hint="eastAsia"/>
        </w:rPr>
        <w:t>进入中职学校，不是为了学习，或者进入职校不知道自己怎么该学习，这个心态在中职学生中普遍存在，有些学生读中职，是不想太早就业，有些则是觉得在家里自己一个人也不好玩，因此，要是你想学生来学校是很容易的，但是想他真的学到一点知识却是有难度的，因为，他们中间有部分人有没有任何学习目标，就更别说什么进取心了。</w:t>
      </w:r>
    </w:p>
    <w:p>
      <w:pPr>
        <w:ind w:firstLine="480"/>
        <w:rPr>
          <w:rFonts w:ascii="仿宋_GB2312" w:hAnsi="Courier New" w:eastAsia="仿宋_GB2312"/>
        </w:rPr>
      </w:pPr>
      <w:r>
        <w:rPr>
          <w:rFonts w:hint="eastAsia" w:ascii="仿宋_GB2312" w:hAnsi="Courier New" w:eastAsia="仿宋_GB2312"/>
        </w:rPr>
        <w:t>2.5.1.1.4没有良好的学习习惯和学习方法</w:t>
      </w:r>
    </w:p>
    <w:p>
      <w:pPr>
        <w:ind w:firstLine="480"/>
      </w:pPr>
      <w:r>
        <w:rPr>
          <w:rFonts w:hint="eastAsia"/>
        </w:rPr>
        <w:t>学习知识不光是需要聪明的头脑，在教学中，我发现，有很多孩子应该都是相当的聪明，即便是十几年都没有怎么读过书，脑子还是很灵活，但是为什么聪明却成绩不好了，根据一些观察发现，智商超常的如果没有正确的引导，同样也会学习很一般，而他们又需要专门的人来引导，这样就说明智商在学习中所起的作用不到30%，更多的需要后天的努力，而这个后天的努力，重要的两个环节就有学习习惯和学习方法，良好的学习习惯和学习方法能够让学习事半功倍，比如说，课前预习，找到自己不懂的地方，到了上课的时候在重点听老师讲的这部分内容，课后可以再请教老师，然后自己再复习。这些最基本的学习方法，我们的学生没有几个懂。从来都是直接听课，从头听到尾，最后听得头昏脑胀，非重点的，好笑的就记住了，重点的枯燥的就</w:t>
      </w:r>
      <w:r>
        <w:rPr>
          <w:rFonts w:hint="eastAsia"/>
          <w:b/>
        </w:rPr>
        <w:t>像</w:t>
      </w:r>
      <w:r>
        <w:rPr>
          <w:rFonts w:hint="eastAsia"/>
        </w:rPr>
        <w:t>没有听过一样。而学习习惯角度上来说，拿学习英语来讲，这个也是我们学生也比较头痛的问题，其实，只要每天拿出半个小时来朗读，一年以后，就会有很明显的进步，但我们的学生一听到要这么久，立马就打了退堂鼓。</w:t>
      </w:r>
    </w:p>
    <w:p>
      <w:pPr>
        <w:ind w:firstLine="480"/>
        <w:rPr>
          <w:rFonts w:ascii="仿宋_GB2312" w:hAnsi="Courier New" w:eastAsia="仿宋_GB2312"/>
        </w:rPr>
      </w:pPr>
      <w:r>
        <w:rPr>
          <w:rFonts w:hint="eastAsia" w:ascii="仿宋_GB2312" w:hAnsi="Courier New" w:eastAsia="仿宋_GB2312"/>
        </w:rPr>
        <w:t>2.5.1.1.5学习的自制力差</w:t>
      </w:r>
    </w:p>
    <w:p>
      <w:pPr>
        <w:ind w:firstLine="480"/>
      </w:pPr>
      <w:r>
        <w:rPr>
          <w:rFonts w:hint="eastAsia"/>
        </w:rPr>
        <w:t>虽然在布置作业的时候，经常会布置让学生预习下节课要学习的内容，但很少有学生真正去完成，课余的时间学生宁愿选择发呆，都不会去看一下书本，偶尔拿起课本看书的也是一边玩一边看，这样看书的效果可想而知，而且在自己学习的过程中，很少做到专心致志，学习效率低下，自然导致学习成绩不佳，而这个时候，学生会很快地得出自己不是学习材料这个结论，从而放弃学习。有些需要长期坚持学习的科目，需要老师不断督促和做思想工作，才能坚持。</w:t>
      </w:r>
    </w:p>
    <w:p>
      <w:pPr>
        <w:pStyle w:val="10"/>
      </w:pPr>
      <w:bookmarkStart w:id="66" w:name="_Toc472000958"/>
      <w:bookmarkStart w:id="67" w:name="_Toc29995128"/>
      <w:bookmarkStart w:id="68" w:name="_Toc505003778"/>
      <w:r>
        <w:rPr>
          <w:rFonts w:hint="eastAsia"/>
        </w:rPr>
        <w:t>2.5.1.2针对学生的实际学习能力，对学生的学习能力培养采取了以下具体的措施：</w:t>
      </w:r>
      <w:bookmarkEnd w:id="66"/>
      <w:bookmarkEnd w:id="67"/>
      <w:bookmarkEnd w:id="68"/>
    </w:p>
    <w:p>
      <w:pPr>
        <w:ind w:firstLine="480"/>
        <w:rPr>
          <w:rFonts w:ascii="仿宋_GB2312" w:hAnsi="Courier New" w:eastAsia="仿宋_GB2312"/>
        </w:rPr>
      </w:pPr>
      <w:r>
        <w:rPr>
          <w:rFonts w:hint="eastAsia" w:ascii="仿宋_GB2312" w:hAnsi="Courier New" w:eastAsia="仿宋_GB2312"/>
        </w:rPr>
        <w:t>2.5.1.2.1结合学生的特点，根据社会的现实情况，调整课程，增强实用性。</w:t>
      </w:r>
    </w:p>
    <w:p>
      <w:pPr>
        <w:ind w:firstLine="480"/>
      </w:pPr>
      <w:r>
        <w:rPr>
          <w:rFonts w:hint="eastAsia"/>
        </w:rPr>
        <w:t>学生的基础差，文化知识薄弱，对于专业课程就应该降低难度，讲述最基本的内容，并且在教学的过程中，随时关注学生的学习反应，讲完一个基本理论知识，就应该出例题，加深学生的印象，在课堂上多出几道简单的练习题，马上反复练习，达到通过讲练结合，巩固学生的知识点。而且，加强实操课的操作，即便是纯理论课，也应该多提供一些直观的材料给学生，用最直观的教学来加深学生印象。教授的理论知识也应该以最基本的为基础，以学生能够掌握为基本，计算过于繁琐的，难于理解的，可能学生怎么也听不明白，但又必须知道的内容，可以要求学生背下来，学会怎么运用，多出点实例让学生练习。</w:t>
      </w:r>
    </w:p>
    <w:p>
      <w:pPr>
        <w:ind w:firstLine="480"/>
        <w:rPr>
          <w:rFonts w:ascii="仿宋_GB2312" w:hAnsi="Courier New" w:eastAsia="仿宋_GB2312"/>
        </w:rPr>
      </w:pPr>
      <w:r>
        <w:rPr>
          <w:rFonts w:hint="eastAsia" w:ascii="仿宋_GB2312" w:hAnsi="Courier New" w:eastAsia="仿宋_GB2312"/>
        </w:rPr>
        <w:t>2.5.1.2.2根据不同的学生要采取不同的教学方法。</w:t>
      </w:r>
    </w:p>
    <w:p>
      <w:pPr>
        <w:ind w:firstLine="480"/>
      </w:pPr>
      <w:r>
        <w:rPr>
          <w:rFonts w:hint="eastAsia"/>
        </w:rPr>
        <w:t>即便是同一个班的学生，成绩也是有好有坏，中职学校学生也有很大的差距，一个是基础原因，一个是学习动力，有些学生从一开始就接受了这门学科，越学越好，而有些却停步不前，这样差距就会越拉越大。最后形成一个班级内部至少分成三个段，这种情况下在备课的时候，就应该充分考虑到不同层次学生的这个特点，对于不同特点的同学，应该提出不同的学习要求，甚至还应该进行适当的延伸和拓展，以满足成绩好的同学，同时也要通过一些简单的习题，不断激发后进生的学习兴趣。</w:t>
      </w:r>
    </w:p>
    <w:p>
      <w:pPr>
        <w:ind w:firstLine="480"/>
        <w:rPr>
          <w:rFonts w:ascii="仿宋_GB2312" w:hAnsi="Courier New" w:eastAsia="仿宋_GB2312"/>
        </w:rPr>
      </w:pPr>
      <w:r>
        <w:rPr>
          <w:rFonts w:hint="eastAsia" w:ascii="仿宋_GB2312" w:hAnsi="Courier New" w:eastAsia="仿宋_GB2312"/>
        </w:rPr>
        <w:t>2.5.1.2.3注重专业教育，明确学习目标。</w:t>
      </w:r>
    </w:p>
    <w:p>
      <w:pPr>
        <w:ind w:firstLine="480"/>
      </w:pPr>
      <w:r>
        <w:rPr>
          <w:rFonts w:hint="eastAsia"/>
        </w:rPr>
        <w:t>在教育教学的过程中，不断灌输学生一些职业方面的思想，中职学生年龄为15到18岁，很多人都是从初中直接就要面对职业教育，他们的心理素质还远远没有达到接受职业教育的要求，个别年龄小的，可能还会是先就业后成年，因此，这个关键的三年里，学生会逐渐定型，形成一些固有的人生观和世界观，因此，必须好好把握这几年，在教授过程中，不光是教授书本上的知识，实际操作的方法，还应该更多的传授他们正确的思想，使他们能够在最短的时间内迅速地成熟和成长起来，找到自己的人生目标，而不是小孩子一样地幼稚和无所事事。</w:t>
      </w:r>
    </w:p>
    <w:p>
      <w:pPr>
        <w:ind w:firstLine="480"/>
        <w:rPr>
          <w:rFonts w:ascii="仿宋_GB2312" w:hAnsi="Courier New" w:eastAsia="仿宋_GB2312"/>
        </w:rPr>
      </w:pPr>
      <w:r>
        <w:rPr>
          <w:rFonts w:hint="eastAsia" w:ascii="仿宋_GB2312" w:hAnsi="Courier New" w:eastAsia="仿宋_GB2312"/>
        </w:rPr>
        <w:t>2.5.1.2.4以学生感兴趣的内容为入点。</w:t>
      </w:r>
    </w:p>
    <w:p>
      <w:pPr>
        <w:ind w:firstLine="480"/>
      </w:pPr>
      <w:r>
        <w:rPr>
          <w:rFonts w:hint="eastAsia"/>
        </w:rPr>
        <w:t>在讲课的过程中，应该以学生感兴趣的内容引入课题，中职学生知识面窄，感兴趣的事物非常简单，因此经常需要老师从现实生活中发生的例子，引入到专业课里去，并且，比较枯燥的课堂里，要时刻关注学生的反应，调整讲课内容，在发现学生精力不济的时候，这个时候应该停止一味地讲解，通过提问或者做题来促使学生打起精神，也或者可以在这个时候，暂时放下课堂教育，而对学生现时的状态，进行思想教育，等精神好转，再重新回到课堂，引经据典的时候，尽量说得通俗一点，使学生能够充分理解。 </w:t>
      </w:r>
    </w:p>
    <w:p>
      <w:pPr>
        <w:ind w:firstLine="480"/>
      </w:pPr>
      <w:r>
        <w:rPr>
          <w:rFonts w:hint="eastAsia"/>
        </w:rPr>
        <w:t>因为中职学生需要学的内容非常基础，每堂课所讲授的知识点和重点也非常突出，在讲课的过程中更要突出，通过语音语调来提醒学生注意，然后在用抑扬顿挫地语气不紧不慢地阐述，一般情况下，重点内容要重复三遍以上，课堂讲解一遍，课后总结一遍，下次课再要回顾一遍。这样，学生才能留下一些印象。纯理论的内容，可以通过一些客观题的提问来进行回顾，加深他们的印象，要是计算公式，就应该通过做题的来让学生掌握。 </w:t>
      </w:r>
    </w:p>
    <w:p>
      <w:pPr>
        <w:ind w:firstLine="480"/>
      </w:pPr>
      <w:r>
        <w:rPr>
          <w:rFonts w:hint="eastAsia"/>
        </w:rPr>
        <w:t>除了老师要讲解清楚外，一定要加强学生自己参与课堂的时间，参与的方式有很多种，不同的课程有不同的方法，但共同的就是不要让老师一个人唱独角戏。  </w:t>
      </w:r>
    </w:p>
    <w:p>
      <w:pPr>
        <w:ind w:firstLine="480"/>
        <w:rPr>
          <w:rFonts w:ascii="仿宋_GB2312" w:hAnsi="Courier New" w:eastAsia="仿宋_GB2312"/>
        </w:rPr>
      </w:pPr>
      <w:r>
        <w:rPr>
          <w:rFonts w:hint="eastAsia" w:ascii="仿宋_GB2312" w:hAnsi="Courier New" w:eastAsia="仿宋_GB2312"/>
        </w:rPr>
        <w:t>2.5.1.2.5讲授时间不宜过长。 </w:t>
      </w:r>
    </w:p>
    <w:p>
      <w:pPr>
        <w:ind w:firstLine="480"/>
      </w:pPr>
      <w:r>
        <w:rPr>
          <w:rFonts w:hint="eastAsia"/>
        </w:rPr>
        <w:t>课堂45分钟，如果每分钟老师都在讲授内容，对于中职学生这些长期习惯上课开小差的孩子来讲，想他们45分钟都在听课的确比较困难，而且他们本身就没有什么学习目标，也没有什么兴趣，更别说什么压力和动力。</w:t>
      </w:r>
    </w:p>
    <w:p>
      <w:pPr>
        <w:pStyle w:val="4"/>
      </w:pPr>
      <w:bookmarkStart w:id="69" w:name="_Toc505003779"/>
      <w:bookmarkStart w:id="70" w:name="_Toc29995129"/>
      <w:r>
        <w:rPr>
          <w:rFonts w:hint="eastAsia"/>
        </w:rPr>
        <w:t>2.5.2岗位适应能力及岗位迁移能力</w:t>
      </w:r>
      <w:bookmarkEnd w:id="69"/>
      <w:bookmarkEnd w:id="70"/>
    </w:p>
    <w:p>
      <w:pPr>
        <w:pStyle w:val="10"/>
      </w:pPr>
      <w:bookmarkStart w:id="71" w:name="_Toc472000960"/>
      <w:bookmarkStart w:id="72" w:name="_Toc505003780"/>
      <w:bookmarkStart w:id="73" w:name="_Toc29995130"/>
      <w:r>
        <w:rPr>
          <w:rFonts w:hint="eastAsia"/>
        </w:rPr>
        <w:t>2.5.2.1岗位适应能力</w:t>
      </w:r>
      <w:bookmarkEnd w:id="71"/>
      <w:bookmarkEnd w:id="72"/>
      <w:bookmarkEnd w:id="73"/>
    </w:p>
    <w:p>
      <w:pPr>
        <w:ind w:firstLine="0" w:firstLineChars="0"/>
        <w:rPr>
          <w:rFonts w:ascii="仿宋_GB2312" w:hAnsi="宋体" w:eastAsia="仿宋_GB2312"/>
          <w:kern w:val="0"/>
        </w:rPr>
      </w:pPr>
      <w:r>
        <w:rPr>
          <w:rFonts w:hint="eastAsia" w:ascii="仿宋_GB2312" w:hAnsi="宋体" w:eastAsia="仿宋_GB2312"/>
          <w:kern w:val="0"/>
        </w:rPr>
        <w:t xml:space="preserve">    对于学生的岗位适应能力主要是对应企业满意度调查，具体情况如下: </w:t>
      </w:r>
    </w:p>
    <w:p>
      <w:pPr>
        <w:ind w:firstLine="480"/>
        <w:rPr>
          <w:rFonts w:ascii="仿宋_GB2312" w:hAnsi="宋体" w:eastAsia="仿宋_GB2312"/>
          <w:kern w:val="0"/>
        </w:rPr>
      </w:pPr>
      <w:r>
        <w:rPr>
          <w:rFonts w:hint="eastAsia" w:ascii="仿宋_GB2312" w:hAnsi="宋体" w:eastAsia="仿宋_GB2312"/>
          <w:kern w:val="0"/>
        </w:rPr>
        <w:t>2.5.2.1.1用人单位对毕业生满意度</w:t>
      </w:r>
    </w:p>
    <w:p>
      <w:pPr>
        <w:ind w:firstLine="480"/>
        <w:rPr>
          <w:kern w:val="0"/>
        </w:rPr>
      </w:pPr>
      <w:r>
        <w:rPr>
          <w:rFonts w:hint="eastAsia"/>
          <w:kern w:val="0"/>
        </w:rPr>
        <w:t>根据2018届毕业生称职状况调查，用人单位对毕业生的评价较高，已连续三年毕业生称职率达95%以上。与2017届毕业生总体评价相较，2018届毕业生优良率进一步有所提升。</w:t>
      </w:r>
    </w:p>
    <w:p>
      <w:pPr>
        <w:ind w:firstLine="480"/>
        <w:rPr>
          <w:rFonts w:ascii="仿宋_GB2312" w:hAnsi="宋体" w:eastAsia="仿宋_GB2312"/>
          <w:kern w:val="0"/>
        </w:rPr>
      </w:pPr>
      <w:r>
        <w:rPr>
          <w:rFonts w:hint="eastAsia" w:ascii="仿宋_GB2312" w:hAnsi="宋体" w:eastAsia="仿宋_GB2312"/>
          <w:kern w:val="0"/>
        </w:rPr>
        <w:t>2.5.2.1.2用人单位对毕业生素质和能力结构评价</w:t>
      </w:r>
    </w:p>
    <w:p>
      <w:pPr>
        <w:ind w:firstLine="480"/>
        <w:rPr>
          <w:kern w:val="0"/>
        </w:rPr>
      </w:pPr>
      <w:r>
        <w:rPr>
          <w:rFonts w:hint="eastAsia"/>
          <w:kern w:val="0"/>
        </w:rPr>
        <w:t>用人单位对学校2018届毕业生素质和能力结构的满意度调查数据显示，用人单位对毕业生最高的评价仍然是优秀，平均为95分；其次是良好，第三是称职。</w:t>
      </w:r>
    </w:p>
    <w:p>
      <w:pPr>
        <w:pStyle w:val="10"/>
      </w:pPr>
      <w:bookmarkStart w:id="74" w:name="_Toc29995131"/>
      <w:bookmarkStart w:id="75" w:name="_Toc505003781"/>
      <w:bookmarkStart w:id="76" w:name="_Toc472000961"/>
      <w:r>
        <w:rPr>
          <w:rFonts w:hint="eastAsia"/>
        </w:rPr>
        <w:t>2.5.2.2岗位迁移能力</w:t>
      </w:r>
      <w:bookmarkEnd w:id="74"/>
      <w:bookmarkEnd w:id="75"/>
      <w:bookmarkEnd w:id="76"/>
    </w:p>
    <w:p>
      <w:pPr>
        <w:ind w:firstLine="480"/>
        <w:rPr>
          <w:kern w:val="0"/>
        </w:rPr>
      </w:pPr>
      <w:r>
        <w:rPr>
          <w:rFonts w:hint="eastAsia"/>
          <w:kern w:val="0"/>
        </w:rPr>
        <w:t>为了更好地拓展学生的就业能力和学生就业的领域，学校不单培养的学生专业技能，还结合学生所学专业的特点拓展学生的专业能力，力求培养“一专多能”的人才，使学生能够适应更多岗位的需求。学校除了要求学生学习好专业课之外，还积极鼓励学生参加学校的第二课堂活动以及社团活动。目前学校拥有社团25个，主要分为宣传服务类、专业术科类、文艺艺术类以及体育武术类四大类，使学生有丰富的课余生活的同时，还使学生能够接触更多的社会活动，借助第二课堂以及社团活动平台提升学生社会实践的能力。使学生在日后的就业中，能拥有其他的技术技能实现岗位迁移。</w:t>
      </w:r>
    </w:p>
    <w:p>
      <w:pPr>
        <w:pStyle w:val="2"/>
        <w:ind w:left="98" w:leftChars="41" w:right="240"/>
      </w:pPr>
      <w:bookmarkStart w:id="77" w:name="_Toc505003782"/>
      <w:bookmarkStart w:id="78" w:name="_Toc29995132"/>
      <w:bookmarkStart w:id="79" w:name="_Toc505003803"/>
      <w:r>
        <w:rPr>
          <w:rFonts w:hint="eastAsia"/>
        </w:rPr>
        <w:t>3.质量保障措施</w:t>
      </w:r>
      <w:bookmarkEnd w:id="77"/>
      <w:bookmarkEnd w:id="78"/>
    </w:p>
    <w:p>
      <w:pPr>
        <w:pStyle w:val="3"/>
      </w:pPr>
      <w:bookmarkStart w:id="80" w:name="_Toc505003783"/>
      <w:bookmarkStart w:id="81" w:name="_Toc29995133"/>
      <w:r>
        <w:rPr>
          <w:rFonts w:hint="eastAsia"/>
        </w:rPr>
        <w:t>3.1专业动态调整</w:t>
      </w:r>
      <w:bookmarkEnd w:id="80"/>
      <w:bookmarkEnd w:id="81"/>
    </w:p>
    <w:p>
      <w:pPr>
        <w:pStyle w:val="4"/>
      </w:pPr>
      <w:bookmarkStart w:id="82" w:name="_Toc505003784"/>
      <w:bookmarkStart w:id="83" w:name="_Toc29995134"/>
      <w:r>
        <w:rPr>
          <w:rFonts w:hint="eastAsia"/>
        </w:rPr>
        <w:t>3.1.1专业动态调整</w:t>
      </w:r>
      <w:bookmarkEnd w:id="82"/>
      <w:bookmarkEnd w:id="83"/>
    </w:p>
    <w:p>
      <w:pPr>
        <w:ind w:firstLine="480"/>
      </w:pPr>
      <w:r>
        <w:rPr>
          <w:rFonts w:hint="eastAsia"/>
        </w:rPr>
        <w:t>目前我校备案设置专业25个，招生专业13个，两个数据相比去年各增加了一个，主要是学校在本年度申报开办了高星级饭店运营与管理专业。其中省重专业3个，分别是电子信息与技术、计算机应用以及机电技术应用专业，另外学前教育、电子商务、中餐烹饪与营养膳食为学校重点发展专业。目前学校在招生的各个专业已基本能适应我区乃至全市相关行业企业现实与发展趋势的需要。近几年来，学校结合当地产业实际，对学校原有专业进行了调整，对于不能满足社会需求的专业进行淘汰，如淘汰了市场营销、商务英语以及导游服务等专业。对于社会急需的专业，学校加大投入，扩大办学规模，使到老专业重新焕发新的活力。如电子商务、学前教育以及汽车运用与维修专业就是这几年来学校大力发展的老专业。同时学校根据地方经济发展的需要以及地方产业和特色文化的需要，学校新开办了高星级饭店运营与管理专业。同时，学校也开展了同高等院校的合作，如电子与信息技术专业与广东农工商职业技术学院进行了三二分段的办学合作，机电技术应用、电子商务专业与揭阳职业技术学院开展了三二分段的办学合作。随着专业设置的调整，使到专业结构更加适合学校的发展，同时也提高了学校的办学层次，学校的办学效益和办学规模得到了较大提高。</w:t>
      </w:r>
    </w:p>
    <w:p>
      <w:pPr>
        <w:pStyle w:val="4"/>
      </w:pPr>
      <w:bookmarkStart w:id="84" w:name="_Toc505003785"/>
      <w:bookmarkStart w:id="85" w:name="_Toc29995135"/>
      <w:r>
        <w:rPr>
          <w:rFonts w:hint="eastAsia"/>
        </w:rPr>
        <w:t>3.1.2旧专业的改革情况</w:t>
      </w:r>
      <w:bookmarkEnd w:id="84"/>
      <w:bookmarkEnd w:id="85"/>
    </w:p>
    <w:p>
      <w:pPr>
        <w:ind w:firstLine="480"/>
        <w:rPr>
          <w:sz w:val="28"/>
          <w:szCs w:val="28"/>
        </w:rPr>
      </w:pPr>
      <w:r>
        <w:rPr>
          <w:rFonts w:hint="eastAsia"/>
        </w:rPr>
        <w:t>从2010年搬进梅云新校区以来，结合我校实际，加大对电子商务、学前教育以及汽车运用与维修专业的投入，对这三个老专业进行重新改造，包括实训场室的建设，实训设备的重新购置，满足了这三个专业办学的硬件要求。经过了这将近六年来的发展，电子商务专业已经从原先每年只招1个教学班，50左右个学生，发展到现在每个年级平均有5个班，专业总人数超过了800人的办学规模。汽车运用与维修专业也从原先一个教学班的招生规模，发展到现在每年招生稳定在100人两个班的招生规模。对于学前教育专业更是根椐国家大力发展学前教育规划的需求，招生的规模不但有了质的飞跃，更是在办学层次上也有了很大的发展，我校与揭阳职业技术学院进行了“三二分段”学前教育专业的联合办学，办学效果显著。</w:t>
      </w:r>
    </w:p>
    <w:p>
      <w:pPr>
        <w:pStyle w:val="4"/>
      </w:pPr>
      <w:bookmarkStart w:id="86" w:name="_Toc505003786"/>
      <w:bookmarkStart w:id="87" w:name="_Toc29995136"/>
      <w:r>
        <w:rPr>
          <w:rFonts w:hint="eastAsia"/>
        </w:rPr>
        <w:t>3.1.3新专业的建设情况</w:t>
      </w:r>
      <w:bookmarkEnd w:id="86"/>
      <w:bookmarkEnd w:id="87"/>
    </w:p>
    <w:p>
      <w:pPr>
        <w:ind w:firstLine="480"/>
      </w:pPr>
      <w:r>
        <w:rPr>
          <w:rFonts w:hint="eastAsia"/>
        </w:rPr>
        <w:t>在建设新专业上，学校根椐地方产业需求，新设置了高星级饭店运营与管理专业以及中餐烹饪与营养膳食两个专业。对中餐烹饪与营养膳食专业，学校在将近四年的时间里投入超过200多万的办学经费，实训场室从无到有，再从有到目前不断扩建完善，发展到现在已经取得了相应的办学成效，中餐烹饪与营养膳食专业连续两年参加省技能竞赛均获得三等奖以上的好成绩，这在粤东中职学校参加省级数控专业技能竞赛上取得的成绩来看</w:t>
      </w:r>
      <w:r>
        <w:rPr>
          <w:rFonts w:hint="eastAsia"/>
          <w:sz w:val="28"/>
          <w:szCs w:val="28"/>
        </w:rPr>
        <w:t>，</w:t>
      </w:r>
      <w:r>
        <w:rPr>
          <w:rFonts w:hint="eastAsia"/>
        </w:rPr>
        <w:t>也是具有历史意义的。同时中餐烹饪与营养膳食专业是我校2015年开设的新专业，是我校的年轻专业，也是学校最有活力的专业，第一年招生就招到了56名学生，第二年招生就超过110名学生。该专业是我校关于开展现代学徒制教学模式的试点专业，目前该专业与我市8家大型餐饮机构签订了联合办学协议，我校相应地也成为我市餐饮协会的副会长单位。目前，每年寒暑假都会派学生到合作单位进行实习，而合作单位也会在每学期固定的时间里派该单位总厨或是烹饪部门的负责人到学校为学生上课，真正把现代学徒制的办学落到了实处。</w:t>
      </w:r>
    </w:p>
    <w:p>
      <w:pPr>
        <w:pStyle w:val="4"/>
      </w:pPr>
      <w:bookmarkStart w:id="88" w:name="_Toc505003787"/>
      <w:bookmarkStart w:id="89" w:name="_Toc29995137"/>
      <w:r>
        <w:rPr>
          <w:rFonts w:hint="eastAsia"/>
        </w:rPr>
        <w:t>3.1.4人才培养模式的改革</w:t>
      </w:r>
      <w:bookmarkEnd w:id="88"/>
      <w:bookmarkEnd w:id="89"/>
    </w:p>
    <w:p>
      <w:pPr>
        <w:ind w:firstLine="480"/>
      </w:pPr>
      <w:r>
        <w:rPr>
          <w:rFonts w:hint="eastAsia"/>
        </w:rPr>
        <w:t>随着职业教育的发展，原有传统的人才培养模式已经不能满足现代制造业和现代服务业对人才技术能力的需要。于是，学校从2010年以来按照专业建设的实际情况，开展了多层次多形式办学。目前，我校的办学层次呈现多元化，如中职教育、中高职衔接“三二分段”教育、“五年一贯制”教育以及高职考教育。因此学校对根据以上办学实际对人才培养模式也做出了相应的调整。</w:t>
      </w:r>
    </w:p>
    <w:p>
      <w:pPr>
        <w:pStyle w:val="10"/>
      </w:pPr>
      <w:bookmarkStart w:id="90" w:name="_Toc505003788"/>
      <w:bookmarkStart w:id="91" w:name="_Toc472000968"/>
      <w:bookmarkStart w:id="92" w:name="_Toc29995138"/>
      <w:r>
        <w:rPr>
          <w:rFonts w:hint="eastAsia"/>
        </w:rPr>
        <w:t>3.1.4.1中职教育。</w:t>
      </w:r>
      <w:bookmarkEnd w:id="90"/>
      <w:bookmarkEnd w:id="91"/>
      <w:bookmarkEnd w:id="92"/>
    </w:p>
    <w:p>
      <w:pPr>
        <w:ind w:firstLine="480"/>
      </w:pPr>
      <w:bookmarkStart w:id="93" w:name="_Toc472000969"/>
      <w:r>
        <w:rPr>
          <w:rFonts w:hint="eastAsia"/>
        </w:rPr>
        <w:t>主要根据国家关于中职技能培养的培养目标、教学要求进行人才培养模式的定制。到目前为止我校的所有专业均有中职教育人才培养模式。</w:t>
      </w:r>
    </w:p>
    <w:p>
      <w:pPr>
        <w:pStyle w:val="10"/>
      </w:pPr>
      <w:bookmarkStart w:id="94" w:name="_Toc505003789"/>
      <w:bookmarkStart w:id="95" w:name="_Toc29995139"/>
      <w:r>
        <w:rPr>
          <w:rFonts w:hint="eastAsia"/>
        </w:rPr>
        <w:t>3.1.4.2中高职衔接“三二分段”教育。</w:t>
      </w:r>
      <w:bookmarkEnd w:id="93"/>
      <w:bookmarkEnd w:id="94"/>
      <w:bookmarkEnd w:id="95"/>
    </w:p>
    <w:p>
      <w:pPr>
        <w:ind w:firstLine="480"/>
      </w:pPr>
      <w:bookmarkStart w:id="96" w:name="_Toc472000970"/>
      <w:r>
        <w:rPr>
          <w:rFonts w:hint="eastAsia"/>
        </w:rPr>
        <w:t>就是和相应的高职院校进行合作，在我校人才培养模式的基础上，根据高职院校人才培养模式的要求进行调整。在调整的过程中，主要是依据高职院校对课程进阶学习的基础要求，对相应的专业课程进行了培养目标，教学课时以及评价方式的调整。使学生升读大专院校之后有能力进行进一步的深入学习。目前我校的电子信息与技术专业、电子商务专业以及机电技术应用专业都有相应的人才培养模式。</w:t>
      </w:r>
    </w:p>
    <w:bookmarkEnd w:id="96"/>
    <w:p>
      <w:pPr>
        <w:pStyle w:val="10"/>
      </w:pPr>
      <w:bookmarkStart w:id="97" w:name="_Toc472000971"/>
      <w:bookmarkStart w:id="98" w:name="_Toc505003791"/>
      <w:bookmarkStart w:id="99" w:name="_Toc29995140"/>
      <w:r>
        <w:rPr>
          <w:rFonts w:hint="eastAsia"/>
        </w:rPr>
        <w:t>3.1.4.3高职考教育。</w:t>
      </w:r>
      <w:bookmarkEnd w:id="97"/>
      <w:bookmarkEnd w:id="98"/>
      <w:bookmarkEnd w:id="99"/>
    </w:p>
    <w:p>
      <w:pPr>
        <w:widowControl/>
        <w:ind w:firstLine="480"/>
        <w:jc w:val="left"/>
      </w:pPr>
      <w:r>
        <w:rPr>
          <w:rFonts w:hint="eastAsia"/>
        </w:rPr>
        <w:t>高职考教育，就要相应增加文化课的课时量，但是作为中职教学又不能忽略了技能专业课程的课时，因此对于高职考班的人才培养模式改革就是要根据满足学生高职考文化课学习的要求，又要满足学生学习技能的需求原则进行调整。</w:t>
      </w:r>
    </w:p>
    <w:p>
      <w:pPr>
        <w:spacing w:line="360" w:lineRule="auto"/>
        <w:ind w:firstLine="480"/>
        <w:rPr>
          <w:rFonts w:hint="eastAsia" w:ascii="宋体" w:hAnsi="宋体"/>
        </w:rPr>
      </w:pPr>
      <w:bookmarkStart w:id="100" w:name="_Toc505003792"/>
      <w:r>
        <w:rPr>
          <w:rFonts w:hint="eastAsia" w:ascii="宋体" w:hAnsi="宋体"/>
        </w:rPr>
        <w:t>重视高职考的教学工作，在2018—2019学年度高职考取得较好成绩，参加2019年高职考190人，文化科上本科线47人，占24.7%；上线167人，上线率87.9%；300分以上6人，占3.2%；2016级周炜燃同学被韩山师范学院录取为产品设计专业本科生。2016级三二分段录取人数为72人，其中电子信息专业21人、机电技术应用8人，电子商务43人。另外，2017级电子与信息技术专业参加三二分段转段考核共21人，拟录20人，2018级电子与信息技术专业26人参加五年一体化贯通考核。</w:t>
      </w:r>
    </w:p>
    <w:p>
      <w:pPr>
        <w:pStyle w:val="3"/>
      </w:pPr>
      <w:bookmarkStart w:id="101" w:name="_Toc29995141"/>
      <w:r>
        <w:t>3.2</w:t>
      </w:r>
      <w:r>
        <w:rPr>
          <w:rFonts w:hint="eastAsia"/>
        </w:rPr>
        <w:t>教育教学改革</w:t>
      </w:r>
      <w:bookmarkEnd w:id="100"/>
      <w:bookmarkEnd w:id="101"/>
    </w:p>
    <w:p>
      <w:pPr>
        <w:pStyle w:val="4"/>
        <w:rPr>
          <w:szCs w:val="28"/>
        </w:rPr>
      </w:pPr>
      <w:bookmarkStart w:id="102" w:name="_Toc505003793"/>
      <w:bookmarkStart w:id="103" w:name="_Toc29995142"/>
      <w:r>
        <w:rPr>
          <w:rFonts w:hint="eastAsia"/>
          <w:szCs w:val="28"/>
        </w:rPr>
        <w:t>3.2.</w:t>
      </w:r>
      <w:r>
        <w:rPr>
          <w:szCs w:val="28"/>
        </w:rPr>
        <w:t xml:space="preserve"> 1</w:t>
      </w:r>
      <w:r>
        <w:rPr>
          <w:rFonts w:hint="eastAsia"/>
          <w:szCs w:val="28"/>
        </w:rPr>
        <w:t>公共基础课改革</w:t>
      </w:r>
      <w:bookmarkEnd w:id="102"/>
      <w:bookmarkEnd w:id="103"/>
    </w:p>
    <w:p>
      <w:pPr>
        <w:pStyle w:val="10"/>
      </w:pPr>
      <w:bookmarkStart w:id="104" w:name="_Toc472000974"/>
      <w:bookmarkStart w:id="105" w:name="_Toc29995143"/>
      <w:bookmarkStart w:id="106" w:name="_Toc505003794"/>
      <w:r>
        <w:rPr>
          <w:rFonts w:hint="eastAsia"/>
        </w:rPr>
        <w:t>3.2.</w:t>
      </w:r>
      <w:r>
        <w:t xml:space="preserve"> 1</w:t>
      </w:r>
      <w:r>
        <w:rPr>
          <w:rFonts w:hint="eastAsia"/>
        </w:rPr>
        <w:t>.1我校公共基础课基本情况</w:t>
      </w:r>
      <w:bookmarkEnd w:id="104"/>
      <w:bookmarkEnd w:id="105"/>
      <w:bookmarkEnd w:id="106"/>
    </w:p>
    <w:p>
      <w:pPr>
        <w:ind w:firstLine="480"/>
      </w:pPr>
    </w:p>
    <w:p>
      <w:pPr>
        <w:ind w:firstLine="480"/>
      </w:pPr>
      <w:r>
        <w:rPr>
          <w:rFonts w:hint="eastAsia"/>
        </w:rPr>
        <w:t>目前学校共设公共文化课程八门，分别是德育、语文、数学、英语、计算机应用基础、公共艺术、体育与健康以及礼仪规范。这八门公共文化课是每个专业的必修课，在这八门课程里除了计算机应用基础、体育与健康和礼仪规范这三门课程是属于理论实践课外，其他五门课均为理论课程。</w:t>
      </w:r>
    </w:p>
    <w:p>
      <w:pPr>
        <w:ind w:firstLine="480"/>
      </w:pPr>
      <w:r>
        <w:rPr>
          <w:rFonts w:hint="eastAsia"/>
        </w:rPr>
        <w:t>中等职业学校公共文化课程包括德育、语文、数学、英语、计算机应用基础、体育与健康及公共艺术课。其任务是引导中职学生树立正确的世界观、人生观和价值观，提高学生思想政治素质、职业道德水平和科学文化素养，为专业知识的学习和职业技能的培养奠定基础，满足学生职业生涯发展的需要，促进终身学习。课程设置和教学应与培养目标相适应，注重学生能力的培养，加强与学生生活、专业和社会实践的紧密联系。为学生学习专业知识和形成职业技能打好基础，为学生接受继续教育、转换职业提供必要的条件。对于每年参加高职考的学生，学校还会在第三年安排这部分学生进行语文、数学、英语这三门功课的备考复习，以便在高职考考试中取得较好的成绩，继续升读高一级大专院校。通过这样的课程设置之后，既保证了学生能够在就读中职学校三年期间文化课不脱节，也保证了学生能够有能力参加高职考考试，满足学生升读高一级大专院校的愿望。</w:t>
      </w:r>
    </w:p>
    <w:p>
      <w:pPr>
        <w:adjustRightInd w:val="0"/>
        <w:snapToGrid w:val="0"/>
        <w:spacing w:before="120" w:beforeLines="50" w:after="120" w:afterLines="50"/>
        <w:ind w:firstLine="480"/>
        <w:rPr>
          <w:rFonts w:ascii="宋体" w:hAnsi="宋体"/>
        </w:rPr>
      </w:pPr>
      <w:r>
        <w:rPr>
          <w:rFonts w:hint="eastAsia" w:ascii="宋体" w:hAnsi="宋体"/>
        </w:rPr>
        <w:t>同时，进一步加强在学科教学中渗透社会主义核心价值观教育。各专业、学科能把各课程蕴涵的社会主义核心价值观教育资源充分开发出来，把各门课程已有的社会主义核心价值观的育人功能充分发挥出来，使学生在课堂学习的过程中受到教育；各科教师能认真研究课程标准的三维目标，研究教学内容与社会主义核心价值观的联系点，针对不同的教学内容确定渗透社会主义核心价值观的不同切入点和方法，把传授知识、培养能力和情感、态度、价值观的引导有机结合起来；专业、学科能以教学骨干为中坚力量，深入分析教材，发掘各学科教材中的社会主义核心价值观教育渗透点，形成各年级、各学科的社会主义核心价值观教育指导方案，为广大教师在学科教学中渗透社会主义核心价值观提供业务指导；各专业、学科在平时听课、教学检查、课堂教学观摩等活动中能认真检查任课教师教学中情感、态度、价值观目标的落实情况。学校能按要求将各学科在学科教学中渗透社会主义核心价值观典型教学设计及总结送榕城区教育局教研室。</w:t>
      </w:r>
    </w:p>
    <w:p>
      <w:pPr>
        <w:pStyle w:val="10"/>
        <w:rPr>
          <w:szCs w:val="28"/>
        </w:rPr>
      </w:pPr>
      <w:bookmarkStart w:id="107" w:name="_Toc472000975"/>
      <w:bookmarkStart w:id="108" w:name="_Toc29995144"/>
      <w:bookmarkStart w:id="109" w:name="_Toc505003795"/>
      <w:r>
        <w:rPr>
          <w:rFonts w:hint="eastAsia"/>
          <w:szCs w:val="28"/>
        </w:rPr>
        <w:t>3.2.</w:t>
      </w:r>
      <w:r>
        <w:rPr>
          <w:szCs w:val="28"/>
        </w:rPr>
        <w:t xml:space="preserve"> 1</w:t>
      </w:r>
      <w:r>
        <w:rPr>
          <w:rFonts w:hint="eastAsia"/>
          <w:szCs w:val="28"/>
        </w:rPr>
        <w:t>.2公共基础课改革的目标</w:t>
      </w:r>
      <w:bookmarkEnd w:id="107"/>
      <w:bookmarkEnd w:id="108"/>
      <w:bookmarkEnd w:id="109"/>
    </w:p>
    <w:p>
      <w:pPr>
        <w:ind w:firstLine="480"/>
      </w:pPr>
      <w:r>
        <w:rPr>
          <w:rFonts w:hint="eastAsia"/>
        </w:rPr>
        <w:t>认真落实《教育部关于中等职业学校德育课课程设置与教学安排的意见》，开齐开足德育必修课，切实发挥德育课程在德育工作中的主渠道作用。加强语文、数学、英语、计算机应用基础、体育与健康、公共艺术等公共文化课教学管理，根据教学大纲要求开齐基础课程，开足基础模块课时。其中基础模块的改革，主要体现在教学内容的调整增删。在此公共文化课的改革原则上要实现以下目标。</w:t>
      </w:r>
    </w:p>
    <w:p>
      <w:pPr>
        <w:ind w:firstLine="0" w:firstLineChars="0"/>
      </w:pPr>
      <w:r>
        <w:rPr>
          <w:rFonts w:ascii="仿宋_GB2312" w:hAnsi="Courier New" w:eastAsia="仿宋_GB2312"/>
        </w:rPr>
        <w:t>3.2.1.2.1</w:t>
      </w:r>
      <w:r>
        <w:rPr>
          <w:rFonts w:hint="eastAsia" w:ascii="仿宋_GB2312" w:hAnsi="Courier New" w:eastAsia="仿宋_GB2312"/>
        </w:rPr>
        <w:t>做到“四合”原则。</w:t>
      </w:r>
    </w:p>
    <w:p>
      <w:pPr>
        <w:ind w:firstLine="480"/>
      </w:pPr>
      <w:r>
        <w:rPr>
          <w:rFonts w:hint="eastAsia"/>
        </w:rPr>
        <w:t>（1）坚持立德树人、全面发展；（2）坚持系统培养、多样成才； (3)坚持产教融合、校企合作；（4）坚持工学结合、知行合一；（5）坚持校校合作、开放创新。</w:t>
      </w:r>
    </w:p>
    <w:p>
      <w:pPr>
        <w:ind w:firstLine="0" w:firstLineChars="0"/>
        <w:rPr>
          <w:rFonts w:ascii="仿宋_GB2312" w:hAnsi="Courier New" w:eastAsia="仿宋_GB2312"/>
        </w:rPr>
      </w:pPr>
      <w:r>
        <w:rPr>
          <w:rFonts w:ascii="仿宋_GB2312" w:hAnsi="Courier New" w:eastAsia="仿宋_GB2312"/>
        </w:rPr>
        <w:t>3.2.1.2.2</w:t>
      </w:r>
      <w:r>
        <w:rPr>
          <w:rFonts w:hint="eastAsia" w:ascii="仿宋_GB2312" w:hAnsi="Courier New" w:eastAsia="仿宋_GB2312"/>
        </w:rPr>
        <w:t>做到“四种”对接。</w:t>
      </w:r>
    </w:p>
    <w:p>
      <w:pPr>
        <w:ind w:firstLine="480"/>
      </w:pPr>
      <w:r>
        <w:rPr>
          <w:rFonts w:hint="eastAsia"/>
        </w:rPr>
        <w:t>立足学生学业基础，创新优化教学内容，制定学生能够达到的教学目标，实现学生学习内容与生命成长需要之间的有机对接。立足学生生活实际，创新优化教学手段，形成能够吸引学生的教学方法，实现课堂呈现形式与学生学习规律之间的有机对接。立足学生专业学习，创新优化教学资源，探索学以致用、滋润心灵的教学模式，实现全面素质提高和职业能力培养之间的有机对接。立足学生终身发展，创新优化教学活动，打造师生共同成长的高效课堂，实现学生个性发展和教师专业发展之间的有机对接。</w:t>
      </w:r>
    </w:p>
    <w:p>
      <w:pPr>
        <w:pStyle w:val="10"/>
        <w:rPr>
          <w:szCs w:val="28"/>
        </w:rPr>
      </w:pPr>
      <w:bookmarkStart w:id="110" w:name="_Toc29995145"/>
      <w:bookmarkStart w:id="111" w:name="_Toc472000976"/>
      <w:bookmarkStart w:id="112" w:name="_Toc505003796"/>
      <w:r>
        <w:rPr>
          <w:rFonts w:hint="eastAsia"/>
          <w:szCs w:val="28"/>
        </w:rPr>
        <w:t>3.2.</w:t>
      </w:r>
      <w:r>
        <w:rPr>
          <w:szCs w:val="28"/>
        </w:rPr>
        <w:t xml:space="preserve"> 1</w:t>
      </w:r>
      <w:r>
        <w:rPr>
          <w:rFonts w:hint="eastAsia"/>
          <w:szCs w:val="28"/>
        </w:rPr>
        <w:t>.3公共基础课改革要求</w:t>
      </w:r>
      <w:bookmarkEnd w:id="110"/>
      <w:bookmarkEnd w:id="111"/>
      <w:bookmarkEnd w:id="112"/>
    </w:p>
    <w:p>
      <w:pPr>
        <w:widowControl/>
        <w:ind w:firstLine="480"/>
        <w:jc w:val="left"/>
      </w:pPr>
      <w:r>
        <w:rPr>
          <w:rFonts w:hint="eastAsia" w:ascii="仿宋_GB2312" w:hAnsi="Courier New" w:eastAsia="仿宋_GB2312"/>
        </w:rPr>
        <w:t>3.2.1.3.1教育理念上，</w:t>
      </w:r>
      <w:r>
        <w:rPr>
          <w:rFonts w:hint="eastAsia"/>
        </w:rPr>
        <w:t>以教育信息化带动教育现代化，运用现代教育思想，系统改革公共基础课程，彻底改变传统的教育观念，摒弃“一言堂”“满堂灌”，尊重学生的不同认知起点，关注学生差异与发展，积极唤起学生主动学习的意识，让学生想学、乐学、会学，最终构建服务于人的现代职教教学体系。</w:t>
      </w:r>
    </w:p>
    <w:p>
      <w:pPr>
        <w:widowControl/>
        <w:ind w:firstLine="480"/>
        <w:jc w:val="left"/>
        <w:rPr>
          <w:rFonts w:ascii="仿宋_GB2312" w:hAnsi="Courier New" w:eastAsia="仿宋_GB2312"/>
        </w:rPr>
      </w:pPr>
      <w:r>
        <w:rPr>
          <w:rFonts w:hint="eastAsia" w:ascii="仿宋_GB2312" w:hAnsi="Courier New" w:eastAsia="仿宋_GB2312"/>
        </w:rPr>
        <w:t>3.2.1.3.2教学内容上，</w:t>
      </w:r>
      <w:r>
        <w:rPr>
          <w:rFonts w:hint="eastAsia"/>
        </w:rPr>
        <w:t>合理淡化学科课程特征，删除繁难教学内容，坚持人才培养的基本标准。充分体现职业教育特色，加强实践能力和人文素养的培养，坚持能力为本的教学要求。</w:t>
      </w:r>
      <w:r>
        <w:rPr>
          <w:rFonts w:hint="eastAsia" w:ascii="仿宋_GB2312" w:hAnsi="Courier New" w:eastAsia="仿宋_GB2312"/>
        </w:rPr>
        <w:t>　　</w:t>
      </w:r>
      <w:r>
        <w:rPr>
          <w:rFonts w:ascii="仿宋_GB2312" w:hAnsi="Courier New" w:eastAsia="仿宋_GB2312"/>
        </w:rPr>
        <w:t xml:space="preserve">                 </w:t>
      </w:r>
    </w:p>
    <w:p>
      <w:pPr>
        <w:widowControl/>
        <w:ind w:firstLine="480"/>
        <w:jc w:val="left"/>
      </w:pPr>
      <w:r>
        <w:rPr>
          <w:rFonts w:hint="eastAsia" w:ascii="仿宋_GB2312" w:hAnsi="Courier New" w:eastAsia="仿宋_GB2312"/>
        </w:rPr>
        <w:t>3.2.1.3.3知识要求上，</w:t>
      </w:r>
      <w:r>
        <w:rPr>
          <w:rFonts w:hint="eastAsia"/>
        </w:rPr>
        <w:t>降低理论难度，增强学生学习自信心，优化课程结构，重构学生知识基础，强化应用能力，教会学生学习方法，重视内容更新，拓宽学生文化视野。</w:t>
      </w:r>
    </w:p>
    <w:p>
      <w:pPr>
        <w:widowControl/>
        <w:ind w:firstLine="480"/>
        <w:jc w:val="left"/>
        <w:rPr>
          <w:rFonts w:ascii="仿宋_GB2312" w:hAnsi="Courier New" w:eastAsia="仿宋_GB2312"/>
        </w:rPr>
      </w:pPr>
      <w:r>
        <w:rPr>
          <w:rFonts w:hint="eastAsia" w:ascii="仿宋_GB2312" w:hAnsi="Courier New" w:eastAsia="仿宋_GB2312"/>
        </w:rPr>
        <w:t>3.2.1.3.4教学方法上，</w:t>
      </w:r>
      <w:r>
        <w:rPr>
          <w:rFonts w:hint="eastAsia"/>
        </w:rPr>
        <w:t>加强学习策略导引，创设“人人可成才”的学习环境。要逐渐减少知识的单向灌输，增加教学活动的设计和安排，敢于放手让学生成为课堂的主人，给学生自主学习的空间、合作探究的时间和展示自我的舞台。　</w:t>
      </w:r>
      <w:r>
        <w:rPr>
          <w:rFonts w:hint="eastAsia" w:ascii="仿宋_GB2312" w:hAnsi="Courier New" w:eastAsia="仿宋_GB2312"/>
        </w:rPr>
        <w:t>　</w:t>
      </w:r>
    </w:p>
    <w:p>
      <w:pPr>
        <w:widowControl/>
        <w:ind w:firstLine="480"/>
        <w:jc w:val="left"/>
      </w:pPr>
      <w:r>
        <w:rPr>
          <w:rFonts w:hint="eastAsia" w:ascii="仿宋_GB2312" w:hAnsi="Courier New" w:eastAsia="仿宋_GB2312"/>
        </w:rPr>
        <w:t>3.2.1.3.5信息技术上，</w:t>
      </w:r>
      <w:r>
        <w:rPr>
          <w:rFonts w:hint="eastAsia"/>
        </w:rPr>
        <w:t>要充分运用现代信息技术手段，把信息技术和学科特点紧密结合起来，合理选择和优化组合教学资源，采用微课程、网络课程等形式实施课堂教学，让教学的表现形式更加直观、形象、多元，构建充满活力和生机的课堂。</w:t>
      </w:r>
    </w:p>
    <w:p>
      <w:pPr>
        <w:widowControl/>
        <w:ind w:firstLine="480"/>
        <w:jc w:val="left"/>
      </w:pPr>
      <w:r>
        <w:rPr>
          <w:rFonts w:hint="eastAsia" w:ascii="仿宋_GB2312" w:hAnsi="Courier New" w:eastAsia="仿宋_GB2312"/>
        </w:rPr>
        <w:t>3.2.1.3.6评价标准上，</w:t>
      </w:r>
      <w:r>
        <w:rPr>
          <w:rFonts w:hint="eastAsia"/>
        </w:rPr>
        <w:t>实施科学多元的学生学习质量评价制度。加大过程性评价，实现过程性评价和终结性评价的有机结合。创新优化评价内容和形式，强调知识的举一反三和融会贯通，重视应用能力和实践能力的考查，让每个学生都有不一样的发展。</w:t>
      </w:r>
    </w:p>
    <w:p>
      <w:pPr>
        <w:adjustRightInd w:val="0"/>
        <w:snapToGrid w:val="0"/>
        <w:spacing w:before="120" w:beforeLines="50" w:after="120" w:afterLines="50"/>
        <w:ind w:firstLine="480"/>
        <w:rPr>
          <w:rFonts w:ascii="宋体" w:hAnsi="宋体"/>
        </w:rPr>
      </w:pPr>
      <w:r>
        <w:rPr>
          <w:rFonts w:hint="eastAsia" w:ascii="宋体" w:hAnsi="宋体"/>
        </w:rPr>
        <w:t>修订、制订、完善教学文件，强化教学规范管理。</w:t>
      </w:r>
    </w:p>
    <w:p>
      <w:pPr>
        <w:adjustRightInd w:val="0"/>
        <w:snapToGrid w:val="0"/>
        <w:spacing w:before="120" w:beforeLines="50" w:after="120" w:afterLines="50"/>
        <w:ind w:firstLine="480"/>
        <w:rPr>
          <w:rFonts w:ascii="宋体" w:hAnsi="宋体"/>
        </w:rPr>
      </w:pPr>
      <w:r>
        <w:rPr>
          <w:rFonts w:hint="eastAsia" w:ascii="宋体" w:hAnsi="宋体"/>
        </w:rPr>
        <w:t>1. 做好2018级（2＋1）各专业教学计划和指导方案的修订工作。</w:t>
      </w:r>
    </w:p>
    <w:p>
      <w:pPr>
        <w:adjustRightInd w:val="0"/>
        <w:snapToGrid w:val="0"/>
        <w:spacing w:before="120" w:beforeLines="50" w:after="120" w:afterLines="50"/>
        <w:ind w:firstLine="480"/>
        <w:rPr>
          <w:rFonts w:ascii="宋体" w:hAnsi="宋体"/>
        </w:rPr>
      </w:pPr>
      <w:r>
        <w:rPr>
          <w:rFonts w:hint="eastAsia" w:ascii="宋体" w:hAnsi="宋体"/>
        </w:rPr>
        <w:t>2．做好2018级各专业的实施性教学计划安排。</w:t>
      </w:r>
    </w:p>
    <w:p>
      <w:pPr>
        <w:adjustRightInd w:val="0"/>
        <w:snapToGrid w:val="0"/>
        <w:spacing w:before="120" w:beforeLines="50" w:after="120" w:afterLines="50"/>
        <w:ind w:firstLine="480"/>
        <w:rPr>
          <w:rFonts w:ascii="宋体" w:hAnsi="宋体"/>
        </w:rPr>
      </w:pPr>
      <w:r>
        <w:rPr>
          <w:rFonts w:hint="eastAsia" w:ascii="宋体" w:hAnsi="宋体"/>
        </w:rPr>
        <w:t>3. 做好2016级电子商务专业、机电技术应用专业和电子与信息技术专业三二分段课程设置及课时计划的修订工作。</w:t>
      </w:r>
    </w:p>
    <w:p>
      <w:pPr>
        <w:adjustRightInd w:val="0"/>
        <w:snapToGrid w:val="0"/>
        <w:spacing w:before="120" w:beforeLines="50" w:after="120" w:afterLines="50"/>
        <w:ind w:firstLine="480"/>
        <w:rPr>
          <w:rFonts w:ascii="宋体" w:hAnsi="宋体"/>
        </w:rPr>
      </w:pPr>
      <w:r>
        <w:rPr>
          <w:rFonts w:hint="eastAsia" w:ascii="宋体" w:hAnsi="宋体"/>
        </w:rPr>
        <w:t>4.配合学校做好教学管理工作制度的修订工作。</w:t>
      </w:r>
    </w:p>
    <w:p>
      <w:pPr>
        <w:pStyle w:val="4"/>
        <w:rPr>
          <w:szCs w:val="28"/>
        </w:rPr>
      </w:pPr>
      <w:bookmarkStart w:id="113" w:name="_Toc505003797"/>
      <w:bookmarkStart w:id="114" w:name="_Toc29995146"/>
      <w:r>
        <w:rPr>
          <w:rFonts w:hint="eastAsia"/>
          <w:szCs w:val="28"/>
        </w:rPr>
        <w:t>3.2.2师资队伍</w:t>
      </w:r>
      <w:bookmarkEnd w:id="113"/>
      <w:bookmarkEnd w:id="114"/>
    </w:p>
    <w:p>
      <w:pPr>
        <w:ind w:firstLine="480"/>
        <w:rPr>
          <w:b/>
        </w:rPr>
      </w:pPr>
      <w:r>
        <w:rPr>
          <w:rFonts w:hint="eastAsia"/>
        </w:rPr>
        <w:t>学校通过“外引内培”等多元方式推进双师型教师队伍的质量。本年度，学校通过公开招考、聘任和多渠道培养培训等措施，逐步充实教师队伍，提高教师整体素质，师资队伍结构更加趋向合理。榕城区核定我校人员编制为187人，现有在编在岗人员186 人，专业教师队伍得到了继续加强，生师比为19.2：</w:t>
      </w:r>
      <w:r>
        <w:t>1</w:t>
      </w:r>
      <w:r>
        <w:rPr>
          <w:rFonts w:hint="eastAsia"/>
        </w:rPr>
        <w:t>。专任教师中，本科及以上学历100%，研究生学历3人，高级职称</w:t>
      </w:r>
      <w:r>
        <w:t>39</w:t>
      </w:r>
      <w:r>
        <w:rPr>
          <w:rFonts w:hint="eastAsia"/>
        </w:rPr>
        <w:t>人，“双师型”68人。（不含外聘教师及能工巧匠进校园人员）</w:t>
      </w:r>
    </w:p>
    <w:p>
      <w:pPr>
        <w:ind w:firstLine="480"/>
      </w:pPr>
      <w:r>
        <w:rPr>
          <w:rFonts w:hint="eastAsia"/>
        </w:rPr>
        <w:t>校内专任教师以及外聘教师都是作为校内专任教师的组成部分，该部分老师主要通过区、市及省级培训，专业水平得到提升。同时学校每年暑假还通过送教师到省级中职师资培训中心进行培训，使教师的技能得到提升，并获得相应的技能等级证书，增加我校“双师型”教师的数量。以此来推进学校的“双师型”人才建设，提升“双师型”人才的质量。</w:t>
      </w:r>
    </w:p>
    <w:p>
      <w:pPr>
        <w:ind w:firstLine="480"/>
        <w:rPr>
          <w:rFonts w:hint="eastAsia" w:ascii="宋体" w:hAnsi="宋体"/>
          <w:color w:val="ED7D31" w:themeColor="accent2"/>
          <w14:textFill>
            <w14:solidFill>
              <w14:schemeClr w14:val="accent2"/>
            </w14:solidFill>
          </w14:textFill>
        </w:rPr>
      </w:pPr>
      <w:r>
        <w:rPr>
          <w:rFonts w:hint="eastAsia" w:ascii="宋体" w:hAnsi="宋体"/>
        </w:rPr>
        <w:t>同时积极组织我校教师参加上级主管部门组织的各项教研活动。具体情况如下：</w:t>
      </w:r>
    </w:p>
    <w:p>
      <w:pPr>
        <w:ind w:firstLine="480"/>
        <w:rPr>
          <w:rFonts w:hint="eastAsia" w:ascii="宋体" w:hAnsi="宋体"/>
        </w:rPr>
      </w:pPr>
      <w:r>
        <w:rPr>
          <w:rFonts w:hint="eastAsia" w:ascii="宋体" w:hAnsi="宋体"/>
        </w:rPr>
        <w:t>1.参加广东省教育厅关于举办第五届中国“互联网+” 大学生创新创业大赛广东省分赛，由郑文焕老师担任负责人的《“潮味游”旅行美食培训》和陈志东老师担任负责人的《“粿滋味”速食粿汁》分别参加职教赛道“互联网”+文化创意服务和 “互联网” +制造业项目。</w:t>
      </w:r>
    </w:p>
    <w:p>
      <w:pPr>
        <w:ind w:firstLine="480"/>
        <w:rPr>
          <w:rFonts w:hint="eastAsia" w:ascii="宋体" w:hAnsi="宋体"/>
        </w:rPr>
      </w:pPr>
      <w:r>
        <w:rPr>
          <w:rFonts w:hint="eastAsia" w:ascii="宋体" w:hAnsi="宋体"/>
        </w:rPr>
        <w:t>2. 2019年4月，榕城区教育局转发广东省教育厅关于开展全省学校国防教育典型案例推荐遴选工作的通知，我校认真落实文件精神，由林壁芬老师撰写的《国防教育典型案例》按时送交榕城区教育局。</w:t>
      </w:r>
    </w:p>
    <w:p>
      <w:pPr>
        <w:ind w:firstLine="480"/>
        <w:rPr>
          <w:rFonts w:hint="eastAsia" w:ascii="宋体" w:hAnsi="宋体"/>
        </w:rPr>
      </w:pPr>
      <w:r>
        <w:rPr>
          <w:rFonts w:hint="eastAsia" w:ascii="宋体" w:hAnsi="宋体"/>
        </w:rPr>
        <w:t>3.2019年6月，榕城区教育局教研室在全区开展“我与课改”征文评选活动，我校吴婷老师撰写的《我与课改共成长》参加了本次征文评选活动。</w:t>
      </w:r>
    </w:p>
    <w:p>
      <w:pPr>
        <w:ind w:firstLine="480"/>
        <w:rPr>
          <w:rFonts w:hint="eastAsia" w:ascii="宋体" w:hAnsi="宋体"/>
        </w:rPr>
      </w:pPr>
      <w:r>
        <w:rPr>
          <w:rFonts w:hint="eastAsia" w:ascii="宋体" w:hAnsi="宋体"/>
        </w:rPr>
        <w:t>4.组建由洪碧苑、林耿珊、陈芷婷、黄梓怡、柯文荣五位老师组成的合唱队，参加“同心齐唱中国梦 砥砺前行谱华章”——榕城区教育系统庆祝建国70周年合唱比赛。</w:t>
      </w:r>
    </w:p>
    <w:tbl>
      <w:tblPr>
        <w:tblStyle w:val="14"/>
        <w:tblW w:w="9498" w:type="dxa"/>
        <w:tblInd w:w="-459" w:type="dxa"/>
        <w:tblLayout w:type="fixed"/>
        <w:tblCellMar>
          <w:top w:w="0" w:type="dxa"/>
          <w:left w:w="108" w:type="dxa"/>
          <w:bottom w:w="0" w:type="dxa"/>
          <w:right w:w="108" w:type="dxa"/>
        </w:tblCellMar>
      </w:tblPr>
      <w:tblGrid>
        <w:gridCol w:w="567"/>
        <w:gridCol w:w="142"/>
        <w:gridCol w:w="1418"/>
        <w:gridCol w:w="425"/>
        <w:gridCol w:w="425"/>
        <w:gridCol w:w="567"/>
        <w:gridCol w:w="709"/>
        <w:gridCol w:w="567"/>
        <w:gridCol w:w="142"/>
        <w:gridCol w:w="567"/>
        <w:gridCol w:w="83"/>
        <w:gridCol w:w="625"/>
        <w:gridCol w:w="709"/>
        <w:gridCol w:w="992"/>
        <w:gridCol w:w="142"/>
        <w:gridCol w:w="567"/>
        <w:gridCol w:w="142"/>
        <w:gridCol w:w="252"/>
        <w:gridCol w:w="457"/>
      </w:tblGrid>
      <w:tr>
        <w:tblPrEx>
          <w:tblCellMar>
            <w:top w:w="0" w:type="dxa"/>
            <w:left w:w="108" w:type="dxa"/>
            <w:bottom w:w="0" w:type="dxa"/>
            <w:right w:w="108" w:type="dxa"/>
          </w:tblCellMar>
        </w:tblPrEx>
        <w:trPr>
          <w:gridAfter w:val="1"/>
          <w:wAfter w:w="457" w:type="dxa"/>
          <w:trHeight w:val="480" w:hRule="atLeast"/>
        </w:trPr>
        <w:tc>
          <w:tcPr>
            <w:tcW w:w="9041" w:type="dxa"/>
            <w:gridSpan w:val="18"/>
            <w:tcBorders>
              <w:top w:val="nil"/>
              <w:left w:val="nil"/>
              <w:bottom w:val="nil"/>
              <w:right w:val="nil"/>
            </w:tcBorders>
            <w:vAlign w:val="center"/>
          </w:tcPr>
          <w:p>
            <w:pPr>
              <w:ind w:firstLine="960" w:firstLineChars="400"/>
              <w:rPr>
                <w:rFonts w:ascii="宋体" w:hAnsi="宋体"/>
              </w:rPr>
            </w:pPr>
            <w:bookmarkStart w:id="115" w:name="_Toc505003798"/>
            <w:r>
              <w:rPr>
                <w:rFonts w:hint="eastAsia" w:ascii="宋体" w:hAnsi="宋体"/>
              </w:rPr>
              <w:t>5.广东省2019年中等职业学校教师素质提高计划项目参训学员情况</w:t>
            </w:r>
          </w:p>
        </w:tc>
      </w:tr>
      <w:tr>
        <w:tblPrEx>
          <w:tblCellMar>
            <w:top w:w="0" w:type="dxa"/>
            <w:left w:w="108" w:type="dxa"/>
            <w:bottom w:w="0" w:type="dxa"/>
            <w:right w:w="108" w:type="dxa"/>
          </w:tblCellMar>
        </w:tblPrEx>
        <w:trPr>
          <w:trHeight w:val="759" w:hRule="atLeast"/>
        </w:trPr>
        <w:tc>
          <w:tcPr>
            <w:tcW w:w="70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sz w:val="18"/>
                <w:szCs w:val="18"/>
              </w:rPr>
            </w:pPr>
            <w:r>
              <w:rPr>
                <w:rFonts w:hint="eastAsia"/>
                <w:sz w:val="18"/>
                <w:szCs w:val="18"/>
              </w:rPr>
              <w:t>序号</w:t>
            </w:r>
          </w:p>
        </w:tc>
        <w:tc>
          <w:tcPr>
            <w:tcW w:w="1843" w:type="dxa"/>
            <w:gridSpan w:val="2"/>
            <w:tcBorders>
              <w:top w:val="single" w:color="auto" w:sz="4" w:space="0"/>
              <w:left w:val="nil"/>
              <w:bottom w:val="single" w:color="auto" w:sz="4" w:space="0"/>
              <w:right w:val="single" w:color="auto" w:sz="4" w:space="0"/>
            </w:tcBorders>
            <w:vAlign w:val="center"/>
          </w:tcPr>
          <w:p>
            <w:pPr>
              <w:ind w:firstLine="360"/>
              <w:jc w:val="center"/>
              <w:rPr>
                <w:sz w:val="18"/>
                <w:szCs w:val="18"/>
              </w:rPr>
            </w:pPr>
            <w:r>
              <w:rPr>
                <w:rFonts w:hint="eastAsia"/>
                <w:sz w:val="18"/>
                <w:szCs w:val="18"/>
              </w:rPr>
              <w:t>项目名称</w:t>
            </w:r>
          </w:p>
        </w:tc>
        <w:tc>
          <w:tcPr>
            <w:tcW w:w="992" w:type="dxa"/>
            <w:gridSpan w:val="2"/>
            <w:tcBorders>
              <w:top w:val="single" w:color="auto" w:sz="4" w:space="0"/>
              <w:left w:val="nil"/>
              <w:bottom w:val="single" w:color="auto" w:sz="4" w:space="0"/>
              <w:right w:val="single" w:color="auto" w:sz="4" w:space="0"/>
            </w:tcBorders>
            <w:vAlign w:val="center"/>
          </w:tcPr>
          <w:p>
            <w:pPr>
              <w:ind w:firstLine="360"/>
              <w:rPr>
                <w:sz w:val="18"/>
                <w:szCs w:val="18"/>
              </w:rPr>
            </w:pPr>
            <w:r>
              <w:rPr>
                <w:rFonts w:hint="eastAsia"/>
                <w:sz w:val="18"/>
                <w:szCs w:val="18"/>
              </w:rPr>
              <w:t>姓名</w:t>
            </w:r>
          </w:p>
        </w:tc>
        <w:tc>
          <w:tcPr>
            <w:tcW w:w="1276" w:type="dxa"/>
            <w:gridSpan w:val="2"/>
            <w:tcBorders>
              <w:top w:val="single" w:color="auto" w:sz="4" w:space="0"/>
              <w:left w:val="nil"/>
              <w:bottom w:val="single" w:color="auto" w:sz="4" w:space="0"/>
              <w:right w:val="single" w:color="auto" w:sz="4" w:space="0"/>
            </w:tcBorders>
            <w:vAlign w:val="center"/>
          </w:tcPr>
          <w:p>
            <w:pPr>
              <w:ind w:firstLine="0" w:firstLineChars="0"/>
              <w:rPr>
                <w:sz w:val="18"/>
                <w:szCs w:val="18"/>
              </w:rPr>
            </w:pPr>
            <w:r>
              <w:rPr>
                <w:rFonts w:hint="eastAsia"/>
                <w:sz w:val="18"/>
                <w:szCs w:val="18"/>
              </w:rPr>
              <w:t>工作单位</w:t>
            </w:r>
          </w:p>
        </w:tc>
        <w:tc>
          <w:tcPr>
            <w:tcW w:w="709" w:type="dxa"/>
            <w:gridSpan w:val="2"/>
            <w:tcBorders>
              <w:top w:val="single" w:color="auto" w:sz="4" w:space="0"/>
              <w:left w:val="nil"/>
              <w:bottom w:val="single" w:color="auto" w:sz="4" w:space="0"/>
              <w:right w:val="single" w:color="auto" w:sz="4" w:space="0"/>
            </w:tcBorders>
            <w:vAlign w:val="center"/>
          </w:tcPr>
          <w:p>
            <w:pPr>
              <w:ind w:firstLine="0" w:firstLineChars="0"/>
              <w:rPr>
                <w:sz w:val="18"/>
                <w:szCs w:val="18"/>
              </w:rPr>
            </w:pPr>
            <w:r>
              <w:rPr>
                <w:rFonts w:hint="eastAsia"/>
                <w:sz w:val="18"/>
                <w:szCs w:val="18"/>
              </w:rPr>
              <w:t>性别</w:t>
            </w:r>
          </w:p>
        </w:tc>
        <w:tc>
          <w:tcPr>
            <w:tcW w:w="708" w:type="dxa"/>
            <w:gridSpan w:val="2"/>
            <w:tcBorders>
              <w:top w:val="single" w:color="auto" w:sz="4" w:space="0"/>
              <w:left w:val="nil"/>
              <w:bottom w:val="single" w:color="auto" w:sz="4" w:space="0"/>
              <w:right w:val="single" w:color="auto" w:sz="4" w:space="0"/>
            </w:tcBorders>
            <w:vAlign w:val="center"/>
          </w:tcPr>
          <w:p>
            <w:pPr>
              <w:ind w:firstLine="0" w:firstLineChars="0"/>
              <w:rPr>
                <w:sz w:val="18"/>
                <w:szCs w:val="18"/>
              </w:rPr>
            </w:pPr>
            <w:r>
              <w:rPr>
                <w:rFonts w:hint="eastAsia"/>
                <w:sz w:val="18"/>
                <w:szCs w:val="18"/>
              </w:rPr>
              <w:t>年龄</w:t>
            </w:r>
          </w:p>
        </w:tc>
        <w:tc>
          <w:tcPr>
            <w:tcW w:w="709" w:type="dxa"/>
            <w:tcBorders>
              <w:top w:val="single" w:color="auto" w:sz="4" w:space="0"/>
              <w:left w:val="nil"/>
              <w:bottom w:val="single" w:color="auto" w:sz="4" w:space="0"/>
              <w:right w:val="single" w:color="auto" w:sz="4" w:space="0"/>
            </w:tcBorders>
            <w:vAlign w:val="center"/>
          </w:tcPr>
          <w:p>
            <w:pPr>
              <w:ind w:firstLine="0" w:firstLineChars="0"/>
              <w:rPr>
                <w:sz w:val="18"/>
                <w:szCs w:val="18"/>
              </w:rPr>
            </w:pPr>
            <w:r>
              <w:rPr>
                <w:rFonts w:hint="eastAsia"/>
                <w:sz w:val="18"/>
                <w:szCs w:val="18"/>
              </w:rPr>
              <w:t>教龄</w:t>
            </w:r>
          </w:p>
        </w:tc>
        <w:tc>
          <w:tcPr>
            <w:tcW w:w="1134" w:type="dxa"/>
            <w:gridSpan w:val="2"/>
            <w:tcBorders>
              <w:top w:val="single" w:color="auto" w:sz="4" w:space="0"/>
              <w:left w:val="nil"/>
              <w:bottom w:val="single" w:color="auto" w:sz="4" w:space="0"/>
              <w:right w:val="single" w:color="auto" w:sz="4" w:space="0"/>
            </w:tcBorders>
            <w:vAlign w:val="center"/>
          </w:tcPr>
          <w:p>
            <w:pPr>
              <w:ind w:firstLine="360"/>
              <w:rPr>
                <w:sz w:val="18"/>
                <w:szCs w:val="18"/>
              </w:rPr>
            </w:pPr>
            <w:r>
              <w:rPr>
                <w:rFonts w:hint="eastAsia"/>
                <w:sz w:val="18"/>
                <w:szCs w:val="18"/>
              </w:rPr>
              <w:t>专业</w:t>
            </w:r>
          </w:p>
        </w:tc>
        <w:tc>
          <w:tcPr>
            <w:tcW w:w="709" w:type="dxa"/>
            <w:gridSpan w:val="2"/>
            <w:tcBorders>
              <w:top w:val="single" w:color="auto" w:sz="4" w:space="0"/>
              <w:left w:val="nil"/>
              <w:bottom w:val="nil"/>
              <w:right w:val="single" w:color="auto" w:sz="4" w:space="0"/>
            </w:tcBorders>
            <w:vAlign w:val="center"/>
          </w:tcPr>
          <w:p>
            <w:pPr>
              <w:ind w:firstLine="0" w:firstLineChars="0"/>
              <w:rPr>
                <w:sz w:val="18"/>
                <w:szCs w:val="18"/>
              </w:rPr>
            </w:pPr>
            <w:r>
              <w:rPr>
                <w:rFonts w:hint="eastAsia"/>
                <w:sz w:val="18"/>
                <w:szCs w:val="18"/>
              </w:rPr>
              <w:t>学历</w:t>
            </w:r>
          </w:p>
        </w:tc>
        <w:tc>
          <w:tcPr>
            <w:tcW w:w="709" w:type="dxa"/>
            <w:gridSpan w:val="2"/>
            <w:tcBorders>
              <w:top w:val="single" w:color="auto" w:sz="4" w:space="0"/>
              <w:left w:val="nil"/>
              <w:bottom w:val="nil"/>
              <w:right w:val="single" w:color="auto" w:sz="4" w:space="0"/>
            </w:tcBorders>
            <w:vAlign w:val="center"/>
          </w:tcPr>
          <w:p>
            <w:pPr>
              <w:ind w:firstLine="0" w:firstLineChars="0"/>
              <w:rPr>
                <w:sz w:val="18"/>
                <w:szCs w:val="18"/>
              </w:rPr>
            </w:pPr>
            <w:r>
              <w:rPr>
                <w:rFonts w:hint="eastAsia"/>
                <w:sz w:val="18"/>
                <w:szCs w:val="18"/>
              </w:rPr>
              <w:t>职称</w:t>
            </w:r>
          </w:p>
        </w:tc>
      </w:tr>
      <w:tr>
        <w:tblPrEx>
          <w:tblCellMar>
            <w:top w:w="0" w:type="dxa"/>
            <w:left w:w="108" w:type="dxa"/>
            <w:bottom w:w="0" w:type="dxa"/>
            <w:right w:w="108" w:type="dxa"/>
          </w:tblCellMar>
        </w:tblPrEx>
        <w:trPr>
          <w:trHeight w:val="759" w:hRule="atLeast"/>
        </w:trPr>
        <w:tc>
          <w:tcPr>
            <w:tcW w:w="709" w:type="dxa"/>
            <w:gridSpan w:val="2"/>
            <w:tcBorders>
              <w:top w:val="nil"/>
              <w:left w:val="single" w:color="auto" w:sz="4" w:space="0"/>
              <w:bottom w:val="single" w:color="auto" w:sz="4" w:space="0"/>
              <w:right w:val="single" w:color="auto" w:sz="4" w:space="0"/>
            </w:tcBorders>
            <w:vAlign w:val="center"/>
          </w:tcPr>
          <w:p>
            <w:pPr>
              <w:ind w:firstLineChars="111"/>
              <w:rPr>
                <w:sz w:val="18"/>
                <w:szCs w:val="18"/>
              </w:rPr>
            </w:pPr>
            <w:r>
              <w:rPr>
                <w:rFonts w:hint="eastAsia"/>
                <w:sz w:val="18"/>
                <w:szCs w:val="18"/>
              </w:rPr>
              <w:t>1</w:t>
            </w:r>
          </w:p>
        </w:tc>
        <w:tc>
          <w:tcPr>
            <w:tcW w:w="1843" w:type="dxa"/>
            <w:gridSpan w:val="2"/>
            <w:tcBorders>
              <w:top w:val="nil"/>
              <w:left w:val="nil"/>
              <w:bottom w:val="single" w:color="auto" w:sz="4" w:space="0"/>
              <w:right w:val="single" w:color="auto" w:sz="4" w:space="0"/>
            </w:tcBorders>
            <w:vAlign w:val="center"/>
          </w:tcPr>
          <w:p>
            <w:pPr>
              <w:ind w:firstLine="0" w:firstLineChars="0"/>
              <w:jc w:val="center"/>
              <w:rPr>
                <w:rFonts w:ascii="Arial" w:hAnsi="Arial" w:cs="Arial"/>
                <w:sz w:val="18"/>
                <w:szCs w:val="18"/>
              </w:rPr>
            </w:pPr>
            <w:r>
              <w:rPr>
                <w:rFonts w:ascii="Arial" w:hAnsi="Arial" w:cs="Arial"/>
                <w:sz w:val="18"/>
                <w:szCs w:val="18"/>
              </w:rPr>
              <w:t>中职学校骨干校长专项培训项目</w:t>
            </w:r>
          </w:p>
        </w:tc>
        <w:tc>
          <w:tcPr>
            <w:tcW w:w="992"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林丽娜</w:t>
            </w:r>
          </w:p>
        </w:tc>
        <w:tc>
          <w:tcPr>
            <w:tcW w:w="1276"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揭阳捷和职业技术学校</w:t>
            </w:r>
          </w:p>
        </w:tc>
        <w:tc>
          <w:tcPr>
            <w:tcW w:w="709" w:type="dxa"/>
            <w:gridSpan w:val="2"/>
            <w:tcBorders>
              <w:top w:val="nil"/>
              <w:left w:val="nil"/>
              <w:bottom w:val="single" w:color="auto" w:sz="4" w:space="0"/>
              <w:right w:val="single" w:color="auto" w:sz="4" w:space="0"/>
            </w:tcBorders>
            <w:vAlign w:val="center"/>
          </w:tcPr>
          <w:p>
            <w:pPr>
              <w:ind w:firstLineChars="111"/>
              <w:rPr>
                <w:rFonts w:ascii="宋体" w:hAnsi="宋体" w:cs="宋体"/>
                <w:sz w:val="18"/>
                <w:szCs w:val="18"/>
              </w:rPr>
            </w:pPr>
            <w:r>
              <w:rPr>
                <w:rFonts w:hint="eastAsia"/>
                <w:sz w:val="18"/>
                <w:szCs w:val="18"/>
              </w:rPr>
              <w:t>女</w:t>
            </w:r>
          </w:p>
        </w:tc>
        <w:tc>
          <w:tcPr>
            <w:tcW w:w="708" w:type="dxa"/>
            <w:gridSpan w:val="2"/>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48</w:t>
            </w:r>
          </w:p>
        </w:tc>
        <w:tc>
          <w:tcPr>
            <w:tcW w:w="709" w:type="dxa"/>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28</w:t>
            </w:r>
          </w:p>
        </w:tc>
        <w:tc>
          <w:tcPr>
            <w:tcW w:w="1134" w:type="dxa"/>
            <w:gridSpan w:val="2"/>
            <w:tcBorders>
              <w:top w:val="nil"/>
              <w:left w:val="nil"/>
              <w:bottom w:val="single" w:color="auto" w:sz="4" w:space="0"/>
              <w:right w:val="single" w:color="auto" w:sz="4" w:space="0"/>
            </w:tcBorders>
            <w:vAlign w:val="center"/>
          </w:tcPr>
          <w:p>
            <w:pPr>
              <w:ind w:firstLineChars="111"/>
              <w:jc w:val="center"/>
              <w:rPr>
                <w:rFonts w:ascii="宋体" w:hAnsi="宋体" w:cs="宋体"/>
                <w:sz w:val="18"/>
                <w:szCs w:val="18"/>
              </w:rPr>
            </w:pPr>
            <w:r>
              <w:rPr>
                <w:rFonts w:hint="eastAsia"/>
                <w:sz w:val="18"/>
                <w:szCs w:val="18"/>
              </w:rPr>
              <w:t>中文</w:t>
            </w:r>
          </w:p>
        </w:tc>
        <w:tc>
          <w:tcPr>
            <w:tcW w:w="709"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本科</w:t>
            </w:r>
          </w:p>
        </w:tc>
        <w:tc>
          <w:tcPr>
            <w:tcW w:w="709"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中高教师</w:t>
            </w:r>
          </w:p>
        </w:tc>
      </w:tr>
      <w:tr>
        <w:tblPrEx>
          <w:tblCellMar>
            <w:top w:w="0" w:type="dxa"/>
            <w:left w:w="108" w:type="dxa"/>
            <w:bottom w:w="0" w:type="dxa"/>
            <w:right w:w="108" w:type="dxa"/>
          </w:tblCellMar>
        </w:tblPrEx>
        <w:trPr>
          <w:trHeight w:val="759" w:hRule="atLeast"/>
        </w:trPr>
        <w:tc>
          <w:tcPr>
            <w:tcW w:w="709" w:type="dxa"/>
            <w:gridSpan w:val="2"/>
            <w:tcBorders>
              <w:top w:val="nil"/>
              <w:left w:val="single" w:color="auto" w:sz="4" w:space="0"/>
              <w:bottom w:val="single" w:color="auto" w:sz="4" w:space="0"/>
              <w:right w:val="single" w:color="auto" w:sz="4" w:space="0"/>
            </w:tcBorders>
            <w:vAlign w:val="center"/>
          </w:tcPr>
          <w:p>
            <w:pPr>
              <w:ind w:firstLineChars="111"/>
              <w:rPr>
                <w:sz w:val="18"/>
                <w:szCs w:val="18"/>
              </w:rPr>
            </w:pPr>
            <w:r>
              <w:rPr>
                <w:rFonts w:hint="eastAsia"/>
                <w:sz w:val="18"/>
                <w:szCs w:val="18"/>
              </w:rPr>
              <w:t>2</w:t>
            </w:r>
          </w:p>
        </w:tc>
        <w:tc>
          <w:tcPr>
            <w:tcW w:w="1843"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专业带头人领军能力研修</w:t>
            </w:r>
          </w:p>
        </w:tc>
        <w:tc>
          <w:tcPr>
            <w:tcW w:w="992"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庄友梅</w:t>
            </w:r>
          </w:p>
        </w:tc>
        <w:tc>
          <w:tcPr>
            <w:tcW w:w="1276"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揭阳捷和职业技术学校</w:t>
            </w:r>
          </w:p>
        </w:tc>
        <w:tc>
          <w:tcPr>
            <w:tcW w:w="709" w:type="dxa"/>
            <w:gridSpan w:val="2"/>
            <w:tcBorders>
              <w:top w:val="nil"/>
              <w:left w:val="nil"/>
              <w:bottom w:val="single" w:color="auto" w:sz="4" w:space="0"/>
              <w:right w:val="single" w:color="auto" w:sz="4" w:space="0"/>
            </w:tcBorders>
            <w:vAlign w:val="center"/>
          </w:tcPr>
          <w:p>
            <w:pPr>
              <w:ind w:firstLineChars="111"/>
              <w:rPr>
                <w:rFonts w:ascii="宋体" w:hAnsi="宋体" w:cs="宋体"/>
                <w:sz w:val="18"/>
                <w:szCs w:val="18"/>
              </w:rPr>
            </w:pPr>
            <w:r>
              <w:rPr>
                <w:rFonts w:hint="eastAsia"/>
                <w:sz w:val="18"/>
                <w:szCs w:val="18"/>
              </w:rPr>
              <w:t>女</w:t>
            </w:r>
          </w:p>
        </w:tc>
        <w:tc>
          <w:tcPr>
            <w:tcW w:w="708" w:type="dxa"/>
            <w:gridSpan w:val="2"/>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42</w:t>
            </w:r>
          </w:p>
        </w:tc>
        <w:tc>
          <w:tcPr>
            <w:tcW w:w="709" w:type="dxa"/>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22</w:t>
            </w:r>
          </w:p>
        </w:tc>
        <w:tc>
          <w:tcPr>
            <w:tcW w:w="1134"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计算机</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本科</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中一</w:t>
            </w:r>
            <w:r>
              <w:rPr>
                <w:rFonts w:ascii="Calibri" w:hAnsi="Calibri" w:cs="Calibri"/>
                <w:sz w:val="18"/>
                <w:szCs w:val="18"/>
              </w:rPr>
              <w:t xml:space="preserve">     </w:t>
            </w:r>
            <w:r>
              <w:rPr>
                <w:rFonts w:hint="eastAsia"/>
                <w:sz w:val="18"/>
                <w:szCs w:val="18"/>
              </w:rPr>
              <w:t>教师</w:t>
            </w:r>
          </w:p>
        </w:tc>
      </w:tr>
      <w:tr>
        <w:tblPrEx>
          <w:tblCellMar>
            <w:top w:w="0" w:type="dxa"/>
            <w:left w:w="108" w:type="dxa"/>
            <w:bottom w:w="0" w:type="dxa"/>
            <w:right w:w="108" w:type="dxa"/>
          </w:tblCellMar>
        </w:tblPrEx>
        <w:trPr>
          <w:trHeight w:val="759" w:hRule="atLeast"/>
        </w:trPr>
        <w:tc>
          <w:tcPr>
            <w:tcW w:w="709" w:type="dxa"/>
            <w:gridSpan w:val="2"/>
            <w:tcBorders>
              <w:top w:val="nil"/>
              <w:left w:val="single" w:color="auto" w:sz="4" w:space="0"/>
              <w:bottom w:val="single" w:color="auto" w:sz="4" w:space="0"/>
              <w:right w:val="single" w:color="auto" w:sz="4" w:space="0"/>
            </w:tcBorders>
            <w:vAlign w:val="center"/>
          </w:tcPr>
          <w:p>
            <w:pPr>
              <w:ind w:firstLineChars="111"/>
              <w:rPr>
                <w:sz w:val="18"/>
                <w:szCs w:val="18"/>
              </w:rPr>
            </w:pPr>
            <w:r>
              <w:rPr>
                <w:rFonts w:hint="eastAsia"/>
                <w:sz w:val="18"/>
                <w:szCs w:val="18"/>
              </w:rPr>
              <w:t>3</w:t>
            </w:r>
          </w:p>
        </w:tc>
        <w:tc>
          <w:tcPr>
            <w:tcW w:w="1843" w:type="dxa"/>
            <w:gridSpan w:val="2"/>
            <w:tcBorders>
              <w:top w:val="nil"/>
              <w:left w:val="nil"/>
              <w:bottom w:val="single" w:color="auto" w:sz="4" w:space="0"/>
              <w:right w:val="single" w:color="auto" w:sz="4" w:space="0"/>
            </w:tcBorders>
            <w:vAlign w:val="center"/>
          </w:tcPr>
          <w:p>
            <w:pPr>
              <w:ind w:firstLine="0" w:firstLineChars="0"/>
              <w:jc w:val="center"/>
              <w:rPr>
                <w:rFonts w:ascii="Arial" w:hAnsi="Arial" w:cs="Arial"/>
                <w:sz w:val="18"/>
                <w:szCs w:val="18"/>
              </w:rPr>
            </w:pPr>
            <w:r>
              <w:rPr>
                <w:rFonts w:ascii="Arial" w:hAnsi="Arial" w:cs="Arial"/>
                <w:sz w:val="18"/>
                <w:szCs w:val="18"/>
              </w:rPr>
              <w:t>双师型教师专业技能培训</w:t>
            </w:r>
          </w:p>
        </w:tc>
        <w:tc>
          <w:tcPr>
            <w:tcW w:w="992"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佘燕杰</w:t>
            </w:r>
          </w:p>
        </w:tc>
        <w:tc>
          <w:tcPr>
            <w:tcW w:w="1276"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揭阳捷和职业技术学校</w:t>
            </w:r>
          </w:p>
        </w:tc>
        <w:tc>
          <w:tcPr>
            <w:tcW w:w="709" w:type="dxa"/>
            <w:gridSpan w:val="2"/>
            <w:tcBorders>
              <w:top w:val="nil"/>
              <w:left w:val="nil"/>
              <w:bottom w:val="single" w:color="auto" w:sz="4" w:space="0"/>
              <w:right w:val="single" w:color="auto" w:sz="4" w:space="0"/>
            </w:tcBorders>
            <w:vAlign w:val="center"/>
          </w:tcPr>
          <w:p>
            <w:pPr>
              <w:ind w:firstLineChars="111"/>
              <w:rPr>
                <w:rFonts w:ascii="宋体" w:hAnsi="宋体" w:cs="宋体"/>
                <w:sz w:val="18"/>
                <w:szCs w:val="18"/>
              </w:rPr>
            </w:pPr>
            <w:r>
              <w:rPr>
                <w:rFonts w:hint="eastAsia"/>
                <w:sz w:val="18"/>
                <w:szCs w:val="18"/>
              </w:rPr>
              <w:t>男</w:t>
            </w:r>
          </w:p>
        </w:tc>
        <w:tc>
          <w:tcPr>
            <w:tcW w:w="708" w:type="dxa"/>
            <w:gridSpan w:val="2"/>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38</w:t>
            </w:r>
          </w:p>
        </w:tc>
        <w:tc>
          <w:tcPr>
            <w:tcW w:w="709" w:type="dxa"/>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14</w:t>
            </w:r>
          </w:p>
        </w:tc>
        <w:tc>
          <w:tcPr>
            <w:tcW w:w="1134"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电子与信息技术</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本科</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中一</w:t>
            </w:r>
            <w:r>
              <w:rPr>
                <w:rFonts w:ascii="Calibri" w:hAnsi="Calibri" w:cs="Calibri"/>
                <w:sz w:val="18"/>
                <w:szCs w:val="18"/>
              </w:rPr>
              <w:t xml:space="preserve">     </w:t>
            </w:r>
            <w:r>
              <w:rPr>
                <w:rFonts w:hint="eastAsia"/>
                <w:sz w:val="18"/>
                <w:szCs w:val="18"/>
              </w:rPr>
              <w:t>教师</w:t>
            </w:r>
          </w:p>
        </w:tc>
      </w:tr>
      <w:tr>
        <w:tblPrEx>
          <w:tblCellMar>
            <w:top w:w="0" w:type="dxa"/>
            <w:left w:w="108" w:type="dxa"/>
            <w:bottom w:w="0" w:type="dxa"/>
            <w:right w:w="108" w:type="dxa"/>
          </w:tblCellMar>
        </w:tblPrEx>
        <w:trPr>
          <w:trHeight w:val="756" w:hRule="atLeast"/>
        </w:trPr>
        <w:tc>
          <w:tcPr>
            <w:tcW w:w="709" w:type="dxa"/>
            <w:gridSpan w:val="2"/>
            <w:tcBorders>
              <w:top w:val="nil"/>
              <w:left w:val="single" w:color="auto" w:sz="4" w:space="0"/>
              <w:bottom w:val="single" w:color="auto" w:sz="4" w:space="0"/>
              <w:right w:val="single" w:color="auto" w:sz="4" w:space="0"/>
            </w:tcBorders>
            <w:vAlign w:val="center"/>
          </w:tcPr>
          <w:p>
            <w:pPr>
              <w:ind w:firstLineChars="111"/>
              <w:rPr>
                <w:sz w:val="18"/>
                <w:szCs w:val="18"/>
              </w:rPr>
            </w:pPr>
            <w:r>
              <w:rPr>
                <w:rFonts w:hint="eastAsia"/>
                <w:sz w:val="18"/>
                <w:szCs w:val="18"/>
              </w:rPr>
              <w:t>4</w:t>
            </w:r>
          </w:p>
        </w:tc>
        <w:tc>
          <w:tcPr>
            <w:tcW w:w="1843" w:type="dxa"/>
            <w:gridSpan w:val="2"/>
            <w:tcBorders>
              <w:top w:val="nil"/>
              <w:left w:val="nil"/>
              <w:bottom w:val="single" w:color="auto" w:sz="4" w:space="0"/>
              <w:right w:val="single" w:color="auto" w:sz="4" w:space="0"/>
            </w:tcBorders>
            <w:vAlign w:val="center"/>
          </w:tcPr>
          <w:p>
            <w:pPr>
              <w:ind w:firstLine="0" w:firstLineChars="0"/>
              <w:jc w:val="center"/>
              <w:rPr>
                <w:rFonts w:ascii="Arial" w:hAnsi="Arial" w:cs="Arial"/>
                <w:sz w:val="18"/>
                <w:szCs w:val="18"/>
              </w:rPr>
            </w:pPr>
            <w:r>
              <w:rPr>
                <w:rFonts w:ascii="Arial" w:hAnsi="Arial" w:cs="Arial"/>
                <w:sz w:val="18"/>
                <w:szCs w:val="18"/>
              </w:rPr>
              <w:t>双师型教师专业技能培训</w:t>
            </w:r>
          </w:p>
        </w:tc>
        <w:tc>
          <w:tcPr>
            <w:tcW w:w="992"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潘玲燕</w:t>
            </w:r>
          </w:p>
        </w:tc>
        <w:tc>
          <w:tcPr>
            <w:tcW w:w="1276"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揭阳捷和职业技术学校</w:t>
            </w:r>
          </w:p>
        </w:tc>
        <w:tc>
          <w:tcPr>
            <w:tcW w:w="709" w:type="dxa"/>
            <w:gridSpan w:val="2"/>
            <w:tcBorders>
              <w:top w:val="nil"/>
              <w:left w:val="nil"/>
              <w:bottom w:val="single" w:color="auto" w:sz="4" w:space="0"/>
              <w:right w:val="single" w:color="auto" w:sz="4" w:space="0"/>
            </w:tcBorders>
            <w:vAlign w:val="center"/>
          </w:tcPr>
          <w:p>
            <w:pPr>
              <w:ind w:firstLineChars="111"/>
              <w:rPr>
                <w:rFonts w:ascii="宋体" w:hAnsi="宋体" w:cs="宋体"/>
                <w:sz w:val="18"/>
                <w:szCs w:val="18"/>
              </w:rPr>
            </w:pPr>
            <w:r>
              <w:rPr>
                <w:rFonts w:hint="eastAsia"/>
                <w:sz w:val="18"/>
                <w:szCs w:val="18"/>
              </w:rPr>
              <w:t>女</w:t>
            </w:r>
          </w:p>
        </w:tc>
        <w:tc>
          <w:tcPr>
            <w:tcW w:w="708" w:type="dxa"/>
            <w:gridSpan w:val="2"/>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35</w:t>
            </w:r>
          </w:p>
        </w:tc>
        <w:tc>
          <w:tcPr>
            <w:tcW w:w="709" w:type="dxa"/>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11</w:t>
            </w:r>
          </w:p>
        </w:tc>
        <w:tc>
          <w:tcPr>
            <w:tcW w:w="1134"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电子与信息技术</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本科</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中一</w:t>
            </w:r>
            <w:r>
              <w:rPr>
                <w:rFonts w:ascii="Calibri" w:hAnsi="Calibri" w:cs="Calibri"/>
                <w:sz w:val="18"/>
                <w:szCs w:val="18"/>
              </w:rPr>
              <w:t xml:space="preserve">     </w:t>
            </w:r>
            <w:r>
              <w:rPr>
                <w:rFonts w:hint="eastAsia"/>
                <w:sz w:val="18"/>
                <w:szCs w:val="18"/>
              </w:rPr>
              <w:t>教师</w:t>
            </w:r>
          </w:p>
        </w:tc>
      </w:tr>
      <w:tr>
        <w:tblPrEx>
          <w:tblCellMar>
            <w:top w:w="0" w:type="dxa"/>
            <w:left w:w="108" w:type="dxa"/>
            <w:bottom w:w="0" w:type="dxa"/>
            <w:right w:w="108" w:type="dxa"/>
          </w:tblCellMar>
        </w:tblPrEx>
        <w:trPr>
          <w:trHeight w:val="888" w:hRule="atLeast"/>
        </w:trPr>
        <w:tc>
          <w:tcPr>
            <w:tcW w:w="709" w:type="dxa"/>
            <w:gridSpan w:val="2"/>
            <w:tcBorders>
              <w:top w:val="nil"/>
              <w:left w:val="single" w:color="auto" w:sz="4" w:space="0"/>
              <w:bottom w:val="single" w:color="auto" w:sz="4" w:space="0"/>
              <w:right w:val="single" w:color="auto" w:sz="4" w:space="0"/>
            </w:tcBorders>
            <w:vAlign w:val="center"/>
          </w:tcPr>
          <w:p>
            <w:pPr>
              <w:ind w:firstLineChars="111"/>
              <w:rPr>
                <w:sz w:val="18"/>
                <w:szCs w:val="18"/>
              </w:rPr>
            </w:pPr>
            <w:r>
              <w:rPr>
                <w:rFonts w:hint="eastAsia"/>
                <w:sz w:val="18"/>
                <w:szCs w:val="18"/>
              </w:rPr>
              <w:t>5</w:t>
            </w:r>
          </w:p>
        </w:tc>
        <w:tc>
          <w:tcPr>
            <w:tcW w:w="1843" w:type="dxa"/>
            <w:gridSpan w:val="2"/>
            <w:tcBorders>
              <w:top w:val="nil"/>
              <w:left w:val="nil"/>
              <w:bottom w:val="single" w:color="auto" w:sz="4" w:space="0"/>
              <w:right w:val="single" w:color="auto" w:sz="4" w:space="0"/>
            </w:tcBorders>
            <w:vAlign w:val="center"/>
          </w:tcPr>
          <w:p>
            <w:pPr>
              <w:ind w:firstLine="0" w:firstLineChars="0"/>
              <w:jc w:val="center"/>
              <w:rPr>
                <w:rFonts w:ascii="Arial" w:hAnsi="Arial" w:cs="Arial"/>
                <w:sz w:val="18"/>
                <w:szCs w:val="18"/>
              </w:rPr>
            </w:pPr>
            <w:r>
              <w:rPr>
                <w:rFonts w:ascii="Arial" w:hAnsi="Arial" w:cs="Arial"/>
                <w:sz w:val="18"/>
                <w:szCs w:val="18"/>
              </w:rPr>
              <w:t>双师型教师专业技能培训</w:t>
            </w:r>
          </w:p>
        </w:tc>
        <w:tc>
          <w:tcPr>
            <w:tcW w:w="992"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谢晓佳</w:t>
            </w:r>
          </w:p>
        </w:tc>
        <w:tc>
          <w:tcPr>
            <w:tcW w:w="1276"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揭阳捷和职业技术学校</w:t>
            </w:r>
          </w:p>
        </w:tc>
        <w:tc>
          <w:tcPr>
            <w:tcW w:w="709" w:type="dxa"/>
            <w:gridSpan w:val="2"/>
            <w:tcBorders>
              <w:top w:val="nil"/>
              <w:left w:val="nil"/>
              <w:bottom w:val="single" w:color="auto" w:sz="4" w:space="0"/>
              <w:right w:val="single" w:color="auto" w:sz="4" w:space="0"/>
            </w:tcBorders>
            <w:vAlign w:val="center"/>
          </w:tcPr>
          <w:p>
            <w:pPr>
              <w:ind w:firstLineChars="111"/>
              <w:rPr>
                <w:rFonts w:ascii="宋体" w:hAnsi="宋体" w:cs="宋体"/>
                <w:sz w:val="18"/>
                <w:szCs w:val="18"/>
              </w:rPr>
            </w:pPr>
            <w:r>
              <w:rPr>
                <w:rFonts w:hint="eastAsia"/>
                <w:sz w:val="18"/>
                <w:szCs w:val="18"/>
              </w:rPr>
              <w:t>男</w:t>
            </w:r>
          </w:p>
        </w:tc>
        <w:tc>
          <w:tcPr>
            <w:tcW w:w="708" w:type="dxa"/>
            <w:gridSpan w:val="2"/>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34</w:t>
            </w:r>
          </w:p>
        </w:tc>
        <w:tc>
          <w:tcPr>
            <w:tcW w:w="709" w:type="dxa"/>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10</w:t>
            </w:r>
          </w:p>
        </w:tc>
        <w:tc>
          <w:tcPr>
            <w:tcW w:w="1134"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电子商务</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本科</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中二教师</w:t>
            </w:r>
          </w:p>
        </w:tc>
      </w:tr>
      <w:tr>
        <w:tblPrEx>
          <w:tblCellMar>
            <w:top w:w="0" w:type="dxa"/>
            <w:left w:w="108" w:type="dxa"/>
            <w:bottom w:w="0" w:type="dxa"/>
            <w:right w:w="108" w:type="dxa"/>
          </w:tblCellMar>
        </w:tblPrEx>
        <w:trPr>
          <w:trHeight w:val="1044" w:hRule="atLeast"/>
        </w:trPr>
        <w:tc>
          <w:tcPr>
            <w:tcW w:w="709" w:type="dxa"/>
            <w:gridSpan w:val="2"/>
            <w:tcBorders>
              <w:top w:val="nil"/>
              <w:left w:val="single" w:color="auto" w:sz="4" w:space="0"/>
              <w:bottom w:val="single" w:color="auto" w:sz="4" w:space="0"/>
              <w:right w:val="single" w:color="auto" w:sz="4" w:space="0"/>
            </w:tcBorders>
            <w:vAlign w:val="center"/>
          </w:tcPr>
          <w:p>
            <w:pPr>
              <w:ind w:firstLineChars="111"/>
              <w:rPr>
                <w:sz w:val="18"/>
                <w:szCs w:val="18"/>
              </w:rPr>
            </w:pPr>
            <w:r>
              <w:rPr>
                <w:rFonts w:hint="eastAsia"/>
                <w:sz w:val="18"/>
                <w:szCs w:val="18"/>
              </w:rPr>
              <w:t>6</w:t>
            </w:r>
          </w:p>
        </w:tc>
        <w:tc>
          <w:tcPr>
            <w:tcW w:w="1843" w:type="dxa"/>
            <w:gridSpan w:val="2"/>
            <w:tcBorders>
              <w:top w:val="nil"/>
              <w:left w:val="nil"/>
              <w:bottom w:val="single" w:color="auto" w:sz="4" w:space="0"/>
              <w:right w:val="single" w:color="auto" w:sz="4" w:space="0"/>
            </w:tcBorders>
            <w:vAlign w:val="center"/>
          </w:tcPr>
          <w:p>
            <w:pPr>
              <w:ind w:firstLine="0" w:firstLineChars="0"/>
              <w:jc w:val="center"/>
              <w:rPr>
                <w:rFonts w:ascii="Arial" w:hAnsi="Arial" w:cs="Arial"/>
                <w:sz w:val="18"/>
                <w:szCs w:val="18"/>
              </w:rPr>
            </w:pPr>
            <w:r>
              <w:rPr>
                <w:rFonts w:ascii="Arial" w:hAnsi="Arial" w:cs="Arial"/>
                <w:sz w:val="18"/>
                <w:szCs w:val="18"/>
              </w:rPr>
              <w:t>双师型教师专业技能培训</w:t>
            </w:r>
          </w:p>
        </w:tc>
        <w:tc>
          <w:tcPr>
            <w:tcW w:w="992"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王晓鹏</w:t>
            </w:r>
          </w:p>
        </w:tc>
        <w:tc>
          <w:tcPr>
            <w:tcW w:w="1276"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揭阳捷和职业技术学校</w:t>
            </w:r>
          </w:p>
        </w:tc>
        <w:tc>
          <w:tcPr>
            <w:tcW w:w="709" w:type="dxa"/>
            <w:gridSpan w:val="2"/>
            <w:tcBorders>
              <w:top w:val="nil"/>
              <w:left w:val="nil"/>
              <w:bottom w:val="single" w:color="auto" w:sz="4" w:space="0"/>
              <w:right w:val="single" w:color="auto" w:sz="4" w:space="0"/>
            </w:tcBorders>
            <w:vAlign w:val="center"/>
          </w:tcPr>
          <w:p>
            <w:pPr>
              <w:ind w:firstLineChars="111"/>
              <w:rPr>
                <w:rFonts w:ascii="宋体" w:hAnsi="宋体" w:cs="宋体"/>
                <w:sz w:val="18"/>
                <w:szCs w:val="18"/>
              </w:rPr>
            </w:pPr>
            <w:r>
              <w:rPr>
                <w:rFonts w:hint="eastAsia"/>
                <w:sz w:val="18"/>
                <w:szCs w:val="18"/>
              </w:rPr>
              <w:t>男</w:t>
            </w:r>
          </w:p>
        </w:tc>
        <w:tc>
          <w:tcPr>
            <w:tcW w:w="708" w:type="dxa"/>
            <w:gridSpan w:val="2"/>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35</w:t>
            </w:r>
          </w:p>
        </w:tc>
        <w:tc>
          <w:tcPr>
            <w:tcW w:w="709" w:type="dxa"/>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12</w:t>
            </w:r>
          </w:p>
        </w:tc>
        <w:tc>
          <w:tcPr>
            <w:tcW w:w="1134"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电子与信息技术</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本科</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中一</w:t>
            </w:r>
            <w:r>
              <w:rPr>
                <w:rFonts w:ascii="Calibri" w:hAnsi="Calibri" w:cs="Calibri"/>
                <w:sz w:val="18"/>
                <w:szCs w:val="18"/>
              </w:rPr>
              <w:t xml:space="preserve">     </w:t>
            </w:r>
            <w:r>
              <w:rPr>
                <w:rFonts w:hint="eastAsia"/>
                <w:sz w:val="18"/>
                <w:szCs w:val="18"/>
              </w:rPr>
              <w:t>教师</w:t>
            </w:r>
          </w:p>
        </w:tc>
      </w:tr>
      <w:tr>
        <w:tblPrEx>
          <w:tblCellMar>
            <w:top w:w="0" w:type="dxa"/>
            <w:left w:w="108" w:type="dxa"/>
            <w:bottom w:w="0" w:type="dxa"/>
            <w:right w:w="108" w:type="dxa"/>
          </w:tblCellMar>
        </w:tblPrEx>
        <w:trPr>
          <w:trHeight w:val="759" w:hRule="atLeast"/>
        </w:trPr>
        <w:tc>
          <w:tcPr>
            <w:tcW w:w="709" w:type="dxa"/>
            <w:gridSpan w:val="2"/>
            <w:tcBorders>
              <w:top w:val="nil"/>
              <w:left w:val="single" w:color="auto" w:sz="4" w:space="0"/>
              <w:bottom w:val="single" w:color="auto" w:sz="4" w:space="0"/>
              <w:right w:val="single" w:color="auto" w:sz="4" w:space="0"/>
            </w:tcBorders>
            <w:vAlign w:val="center"/>
          </w:tcPr>
          <w:p>
            <w:pPr>
              <w:ind w:firstLineChars="111"/>
              <w:rPr>
                <w:sz w:val="18"/>
                <w:szCs w:val="18"/>
              </w:rPr>
            </w:pPr>
            <w:r>
              <w:rPr>
                <w:rFonts w:hint="eastAsia"/>
                <w:sz w:val="18"/>
                <w:szCs w:val="18"/>
              </w:rPr>
              <w:t>7</w:t>
            </w:r>
          </w:p>
        </w:tc>
        <w:tc>
          <w:tcPr>
            <w:tcW w:w="1843" w:type="dxa"/>
            <w:gridSpan w:val="2"/>
            <w:tcBorders>
              <w:top w:val="nil"/>
              <w:left w:val="nil"/>
              <w:bottom w:val="single" w:color="auto" w:sz="4" w:space="0"/>
              <w:right w:val="single" w:color="auto" w:sz="4" w:space="0"/>
            </w:tcBorders>
            <w:vAlign w:val="center"/>
          </w:tcPr>
          <w:p>
            <w:pPr>
              <w:ind w:firstLine="0" w:firstLineChars="0"/>
              <w:jc w:val="center"/>
              <w:rPr>
                <w:rFonts w:ascii="Arial" w:hAnsi="Arial" w:cs="Arial"/>
                <w:sz w:val="18"/>
                <w:szCs w:val="18"/>
              </w:rPr>
            </w:pPr>
            <w:r>
              <w:rPr>
                <w:rFonts w:ascii="Arial" w:hAnsi="Arial" w:cs="Arial"/>
                <w:sz w:val="18"/>
                <w:szCs w:val="18"/>
              </w:rPr>
              <w:t>双师型教师专业技能培训</w:t>
            </w:r>
          </w:p>
        </w:tc>
        <w:tc>
          <w:tcPr>
            <w:tcW w:w="992"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林婉婉</w:t>
            </w:r>
          </w:p>
        </w:tc>
        <w:tc>
          <w:tcPr>
            <w:tcW w:w="1276"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揭阳捷和职业技术学校</w:t>
            </w:r>
          </w:p>
        </w:tc>
        <w:tc>
          <w:tcPr>
            <w:tcW w:w="709" w:type="dxa"/>
            <w:gridSpan w:val="2"/>
            <w:tcBorders>
              <w:top w:val="nil"/>
              <w:left w:val="nil"/>
              <w:bottom w:val="single" w:color="auto" w:sz="4" w:space="0"/>
              <w:right w:val="single" w:color="auto" w:sz="4" w:space="0"/>
            </w:tcBorders>
            <w:vAlign w:val="center"/>
          </w:tcPr>
          <w:p>
            <w:pPr>
              <w:ind w:firstLineChars="111"/>
              <w:rPr>
                <w:rFonts w:ascii="宋体" w:hAnsi="宋体" w:cs="宋体"/>
                <w:sz w:val="18"/>
                <w:szCs w:val="18"/>
              </w:rPr>
            </w:pPr>
            <w:r>
              <w:rPr>
                <w:rFonts w:hint="eastAsia"/>
                <w:sz w:val="18"/>
                <w:szCs w:val="18"/>
              </w:rPr>
              <w:t>女</w:t>
            </w:r>
          </w:p>
        </w:tc>
        <w:tc>
          <w:tcPr>
            <w:tcW w:w="708" w:type="dxa"/>
            <w:gridSpan w:val="2"/>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32</w:t>
            </w:r>
          </w:p>
        </w:tc>
        <w:tc>
          <w:tcPr>
            <w:tcW w:w="709" w:type="dxa"/>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8</w:t>
            </w:r>
          </w:p>
        </w:tc>
        <w:tc>
          <w:tcPr>
            <w:tcW w:w="1134"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电子与信息技术</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本科</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中二教师</w:t>
            </w:r>
          </w:p>
        </w:tc>
      </w:tr>
      <w:tr>
        <w:tblPrEx>
          <w:tblCellMar>
            <w:top w:w="0" w:type="dxa"/>
            <w:left w:w="108" w:type="dxa"/>
            <w:bottom w:w="0" w:type="dxa"/>
            <w:right w:w="108" w:type="dxa"/>
          </w:tblCellMar>
        </w:tblPrEx>
        <w:trPr>
          <w:trHeight w:val="759" w:hRule="atLeast"/>
        </w:trPr>
        <w:tc>
          <w:tcPr>
            <w:tcW w:w="709" w:type="dxa"/>
            <w:gridSpan w:val="2"/>
            <w:tcBorders>
              <w:top w:val="nil"/>
              <w:left w:val="single" w:color="auto" w:sz="4" w:space="0"/>
              <w:bottom w:val="single" w:color="auto" w:sz="4" w:space="0"/>
              <w:right w:val="single" w:color="auto" w:sz="4" w:space="0"/>
            </w:tcBorders>
            <w:vAlign w:val="center"/>
          </w:tcPr>
          <w:p>
            <w:pPr>
              <w:ind w:firstLineChars="111"/>
              <w:rPr>
                <w:sz w:val="18"/>
                <w:szCs w:val="18"/>
              </w:rPr>
            </w:pPr>
            <w:r>
              <w:rPr>
                <w:rFonts w:hint="eastAsia"/>
                <w:sz w:val="18"/>
                <w:szCs w:val="18"/>
              </w:rPr>
              <w:t>8</w:t>
            </w:r>
          </w:p>
        </w:tc>
        <w:tc>
          <w:tcPr>
            <w:tcW w:w="1843" w:type="dxa"/>
            <w:gridSpan w:val="2"/>
            <w:tcBorders>
              <w:top w:val="nil"/>
              <w:left w:val="nil"/>
              <w:bottom w:val="single" w:color="auto" w:sz="4" w:space="0"/>
              <w:right w:val="single" w:color="auto" w:sz="4" w:space="0"/>
            </w:tcBorders>
            <w:vAlign w:val="center"/>
          </w:tcPr>
          <w:p>
            <w:pPr>
              <w:ind w:firstLine="0" w:firstLineChars="0"/>
              <w:jc w:val="center"/>
              <w:rPr>
                <w:rFonts w:ascii="Arial" w:hAnsi="Arial" w:cs="Arial"/>
                <w:sz w:val="18"/>
                <w:szCs w:val="18"/>
              </w:rPr>
            </w:pPr>
            <w:r>
              <w:rPr>
                <w:rFonts w:ascii="Arial" w:hAnsi="Arial" w:cs="Arial"/>
                <w:sz w:val="18"/>
                <w:szCs w:val="18"/>
              </w:rPr>
              <w:t>紧缺领域教师技术技能传承创新</w:t>
            </w:r>
          </w:p>
        </w:tc>
        <w:tc>
          <w:tcPr>
            <w:tcW w:w="992"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林旭娜</w:t>
            </w:r>
          </w:p>
        </w:tc>
        <w:tc>
          <w:tcPr>
            <w:tcW w:w="1276"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揭阳捷和职业技术学校</w:t>
            </w:r>
          </w:p>
        </w:tc>
        <w:tc>
          <w:tcPr>
            <w:tcW w:w="709" w:type="dxa"/>
            <w:gridSpan w:val="2"/>
            <w:tcBorders>
              <w:top w:val="nil"/>
              <w:left w:val="nil"/>
              <w:bottom w:val="single" w:color="auto" w:sz="4" w:space="0"/>
              <w:right w:val="single" w:color="auto" w:sz="4" w:space="0"/>
            </w:tcBorders>
            <w:vAlign w:val="center"/>
          </w:tcPr>
          <w:p>
            <w:pPr>
              <w:ind w:firstLineChars="111"/>
              <w:rPr>
                <w:rFonts w:ascii="宋体" w:hAnsi="宋体" w:cs="宋体"/>
                <w:sz w:val="18"/>
                <w:szCs w:val="18"/>
              </w:rPr>
            </w:pPr>
            <w:r>
              <w:rPr>
                <w:rFonts w:hint="eastAsia"/>
                <w:sz w:val="18"/>
                <w:szCs w:val="18"/>
              </w:rPr>
              <w:t>女</w:t>
            </w:r>
          </w:p>
        </w:tc>
        <w:tc>
          <w:tcPr>
            <w:tcW w:w="708" w:type="dxa"/>
            <w:gridSpan w:val="2"/>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32</w:t>
            </w:r>
          </w:p>
        </w:tc>
        <w:tc>
          <w:tcPr>
            <w:tcW w:w="709" w:type="dxa"/>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7</w:t>
            </w:r>
          </w:p>
        </w:tc>
        <w:tc>
          <w:tcPr>
            <w:tcW w:w="1134"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动漫美术</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本科</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中二教师</w:t>
            </w:r>
          </w:p>
        </w:tc>
      </w:tr>
      <w:tr>
        <w:tblPrEx>
          <w:tblCellMar>
            <w:top w:w="0" w:type="dxa"/>
            <w:left w:w="108" w:type="dxa"/>
            <w:bottom w:w="0" w:type="dxa"/>
            <w:right w:w="108" w:type="dxa"/>
          </w:tblCellMar>
        </w:tblPrEx>
        <w:trPr>
          <w:trHeight w:val="759" w:hRule="atLeast"/>
        </w:trPr>
        <w:tc>
          <w:tcPr>
            <w:tcW w:w="709" w:type="dxa"/>
            <w:gridSpan w:val="2"/>
            <w:tcBorders>
              <w:top w:val="nil"/>
              <w:left w:val="single" w:color="auto" w:sz="4" w:space="0"/>
              <w:bottom w:val="single" w:color="auto" w:sz="4" w:space="0"/>
              <w:right w:val="single" w:color="auto" w:sz="4" w:space="0"/>
            </w:tcBorders>
            <w:vAlign w:val="center"/>
          </w:tcPr>
          <w:p>
            <w:pPr>
              <w:ind w:firstLineChars="111"/>
              <w:rPr>
                <w:sz w:val="18"/>
                <w:szCs w:val="18"/>
              </w:rPr>
            </w:pPr>
            <w:r>
              <w:rPr>
                <w:rFonts w:hint="eastAsia"/>
                <w:sz w:val="18"/>
                <w:szCs w:val="18"/>
              </w:rPr>
              <w:t>9</w:t>
            </w:r>
          </w:p>
        </w:tc>
        <w:tc>
          <w:tcPr>
            <w:tcW w:w="1843" w:type="dxa"/>
            <w:gridSpan w:val="2"/>
            <w:tcBorders>
              <w:top w:val="nil"/>
              <w:left w:val="nil"/>
              <w:bottom w:val="single" w:color="auto" w:sz="4" w:space="0"/>
              <w:right w:val="single" w:color="auto" w:sz="4" w:space="0"/>
            </w:tcBorders>
            <w:vAlign w:val="center"/>
          </w:tcPr>
          <w:p>
            <w:pPr>
              <w:ind w:firstLineChars="111"/>
              <w:jc w:val="center"/>
              <w:rPr>
                <w:rFonts w:ascii="Arial" w:hAnsi="Arial" w:cs="Arial"/>
                <w:sz w:val="18"/>
                <w:szCs w:val="18"/>
              </w:rPr>
            </w:pPr>
            <w:r>
              <w:rPr>
                <w:rFonts w:ascii="Arial" w:hAnsi="Arial" w:cs="Arial"/>
                <w:sz w:val="18"/>
                <w:szCs w:val="18"/>
              </w:rPr>
              <w:t>教师企业实践</w:t>
            </w:r>
          </w:p>
        </w:tc>
        <w:tc>
          <w:tcPr>
            <w:tcW w:w="992"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潘润</w:t>
            </w:r>
          </w:p>
        </w:tc>
        <w:tc>
          <w:tcPr>
            <w:tcW w:w="1276"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揭阳捷和职业技术学校</w:t>
            </w:r>
          </w:p>
        </w:tc>
        <w:tc>
          <w:tcPr>
            <w:tcW w:w="709" w:type="dxa"/>
            <w:gridSpan w:val="2"/>
            <w:tcBorders>
              <w:top w:val="nil"/>
              <w:left w:val="nil"/>
              <w:bottom w:val="single" w:color="auto" w:sz="4" w:space="0"/>
              <w:right w:val="single" w:color="auto" w:sz="4" w:space="0"/>
            </w:tcBorders>
            <w:vAlign w:val="center"/>
          </w:tcPr>
          <w:p>
            <w:pPr>
              <w:ind w:firstLineChars="111"/>
              <w:rPr>
                <w:rFonts w:ascii="宋体" w:hAnsi="宋体" w:cs="宋体"/>
                <w:sz w:val="18"/>
                <w:szCs w:val="18"/>
              </w:rPr>
            </w:pPr>
            <w:r>
              <w:rPr>
                <w:rFonts w:hint="eastAsia"/>
                <w:sz w:val="18"/>
                <w:szCs w:val="18"/>
              </w:rPr>
              <w:t>女</w:t>
            </w:r>
          </w:p>
        </w:tc>
        <w:tc>
          <w:tcPr>
            <w:tcW w:w="708" w:type="dxa"/>
            <w:gridSpan w:val="2"/>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26</w:t>
            </w:r>
          </w:p>
        </w:tc>
        <w:tc>
          <w:tcPr>
            <w:tcW w:w="709" w:type="dxa"/>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2</w:t>
            </w:r>
          </w:p>
        </w:tc>
        <w:tc>
          <w:tcPr>
            <w:tcW w:w="1134"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烹饪与营养教育</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本科</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无</w:t>
            </w:r>
          </w:p>
        </w:tc>
      </w:tr>
      <w:tr>
        <w:tblPrEx>
          <w:tblCellMar>
            <w:top w:w="0" w:type="dxa"/>
            <w:left w:w="108" w:type="dxa"/>
            <w:bottom w:w="0" w:type="dxa"/>
            <w:right w:w="108" w:type="dxa"/>
          </w:tblCellMar>
        </w:tblPrEx>
        <w:trPr>
          <w:trHeight w:val="480" w:hRule="atLeast"/>
        </w:trPr>
        <w:tc>
          <w:tcPr>
            <w:tcW w:w="9498" w:type="dxa"/>
            <w:gridSpan w:val="19"/>
            <w:tcBorders>
              <w:top w:val="nil"/>
              <w:left w:val="nil"/>
              <w:bottom w:val="nil"/>
              <w:right w:val="nil"/>
            </w:tcBorders>
            <w:vAlign w:val="center"/>
          </w:tcPr>
          <w:p>
            <w:pPr>
              <w:ind w:firstLine="720" w:firstLineChars="300"/>
              <w:rPr>
                <w:rFonts w:ascii="方正小标宋简体" w:hAnsi="宋体" w:eastAsia="方正小标宋简体" w:cs="宋体"/>
                <w:kern w:val="0"/>
                <w:sz w:val="32"/>
                <w:szCs w:val="32"/>
              </w:rPr>
            </w:pPr>
            <w:r>
              <w:rPr>
                <w:rFonts w:hint="eastAsia" w:ascii="宋体" w:hAnsi="宋体"/>
              </w:rPr>
              <w:t>6.广东省2019年中等职业学校教师华为云计算ICT培训项目学员报名信息汇总表</w:t>
            </w:r>
          </w:p>
        </w:tc>
      </w:tr>
      <w:tr>
        <w:tblPrEx>
          <w:tblCellMar>
            <w:top w:w="0" w:type="dxa"/>
            <w:left w:w="108" w:type="dxa"/>
            <w:bottom w:w="0" w:type="dxa"/>
            <w:right w:w="108" w:type="dxa"/>
          </w:tblCellMar>
        </w:tblPrEx>
        <w:trPr>
          <w:trHeight w:val="270" w:hRule="atLeast"/>
        </w:trPr>
        <w:tc>
          <w:tcPr>
            <w:tcW w:w="567" w:type="dxa"/>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序号</w:t>
            </w:r>
          </w:p>
        </w:tc>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ind w:firstLineChars="111"/>
              <w:jc w:val="center"/>
              <w:rPr>
                <w:sz w:val="18"/>
                <w:szCs w:val="18"/>
              </w:rPr>
            </w:pPr>
            <w:r>
              <w:rPr>
                <w:rFonts w:hint="eastAsia"/>
                <w:sz w:val="18"/>
                <w:szCs w:val="18"/>
              </w:rPr>
              <w:t>项目名称</w:t>
            </w:r>
          </w:p>
        </w:tc>
        <w:tc>
          <w:tcPr>
            <w:tcW w:w="850" w:type="dxa"/>
            <w:gridSpan w:val="2"/>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姓名</w:t>
            </w:r>
          </w:p>
        </w:tc>
        <w:tc>
          <w:tcPr>
            <w:tcW w:w="1276" w:type="dxa"/>
            <w:gridSpan w:val="2"/>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工作单位</w:t>
            </w:r>
          </w:p>
        </w:tc>
        <w:tc>
          <w:tcPr>
            <w:tcW w:w="709" w:type="dxa"/>
            <w:gridSpan w:val="2"/>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性别</w:t>
            </w:r>
          </w:p>
        </w:tc>
        <w:tc>
          <w:tcPr>
            <w:tcW w:w="650" w:type="dxa"/>
            <w:gridSpan w:val="2"/>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政治面貌</w:t>
            </w:r>
          </w:p>
        </w:tc>
        <w:tc>
          <w:tcPr>
            <w:tcW w:w="625" w:type="dxa"/>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年龄</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教龄</w:t>
            </w: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ind w:firstLineChars="111"/>
              <w:jc w:val="center"/>
              <w:rPr>
                <w:sz w:val="18"/>
                <w:szCs w:val="18"/>
              </w:rPr>
            </w:pPr>
            <w:r>
              <w:rPr>
                <w:rFonts w:hint="eastAsia"/>
                <w:sz w:val="18"/>
                <w:szCs w:val="18"/>
              </w:rPr>
              <w:t>专业</w:t>
            </w:r>
          </w:p>
        </w:tc>
        <w:tc>
          <w:tcPr>
            <w:tcW w:w="709" w:type="dxa"/>
            <w:gridSpan w:val="2"/>
            <w:tcBorders>
              <w:top w:val="single" w:color="auto" w:sz="4" w:space="0"/>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学历</w:t>
            </w:r>
          </w:p>
        </w:tc>
        <w:tc>
          <w:tcPr>
            <w:tcW w:w="851" w:type="dxa"/>
            <w:gridSpan w:val="3"/>
            <w:tcBorders>
              <w:top w:val="single" w:color="auto" w:sz="4" w:space="0"/>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职称</w:t>
            </w:r>
          </w:p>
        </w:tc>
      </w:tr>
      <w:tr>
        <w:tblPrEx>
          <w:tblCellMar>
            <w:top w:w="0" w:type="dxa"/>
            <w:left w:w="108" w:type="dxa"/>
            <w:bottom w:w="0" w:type="dxa"/>
            <w:right w:w="108" w:type="dxa"/>
          </w:tblCellMar>
        </w:tblPrEx>
        <w:trPr>
          <w:trHeight w:val="270" w:hRule="atLeast"/>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ind w:firstLine="360"/>
              <w:jc w:val="center"/>
              <w:rPr>
                <w:sz w:val="18"/>
                <w:szCs w:val="18"/>
              </w:rPr>
            </w:pPr>
          </w:p>
        </w:tc>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ind w:firstLine="360"/>
              <w:jc w:val="center"/>
              <w:rPr>
                <w:sz w:val="18"/>
                <w:szCs w:val="18"/>
              </w:rPr>
            </w:pPr>
          </w:p>
        </w:tc>
        <w:tc>
          <w:tcPr>
            <w:tcW w:w="850" w:type="dxa"/>
            <w:gridSpan w:val="2"/>
            <w:vMerge w:val="continue"/>
            <w:tcBorders>
              <w:top w:val="single" w:color="auto" w:sz="4" w:space="0"/>
              <w:left w:val="single" w:color="auto" w:sz="4" w:space="0"/>
              <w:bottom w:val="single" w:color="auto" w:sz="4" w:space="0"/>
              <w:right w:val="single" w:color="auto" w:sz="4" w:space="0"/>
            </w:tcBorders>
            <w:vAlign w:val="center"/>
          </w:tcPr>
          <w:p>
            <w:pPr>
              <w:ind w:firstLine="360"/>
              <w:jc w:val="center"/>
              <w:rPr>
                <w:sz w:val="18"/>
                <w:szCs w:val="18"/>
              </w:rPr>
            </w:pPr>
          </w:p>
        </w:tc>
        <w:tc>
          <w:tcPr>
            <w:tcW w:w="1276" w:type="dxa"/>
            <w:gridSpan w:val="2"/>
            <w:vMerge w:val="continue"/>
            <w:tcBorders>
              <w:top w:val="single" w:color="auto" w:sz="4" w:space="0"/>
              <w:left w:val="single" w:color="auto" w:sz="4" w:space="0"/>
              <w:bottom w:val="single" w:color="auto" w:sz="4" w:space="0"/>
              <w:right w:val="single" w:color="auto" w:sz="4" w:space="0"/>
            </w:tcBorders>
            <w:vAlign w:val="center"/>
          </w:tcPr>
          <w:p>
            <w:pPr>
              <w:ind w:firstLine="360"/>
              <w:jc w:val="center"/>
              <w:rPr>
                <w:sz w:val="18"/>
                <w:szCs w:val="18"/>
              </w:rPr>
            </w:pPr>
          </w:p>
        </w:tc>
        <w:tc>
          <w:tcPr>
            <w:tcW w:w="709" w:type="dxa"/>
            <w:gridSpan w:val="2"/>
            <w:vMerge w:val="continue"/>
            <w:tcBorders>
              <w:top w:val="single" w:color="auto" w:sz="4" w:space="0"/>
              <w:left w:val="single" w:color="auto" w:sz="4" w:space="0"/>
              <w:bottom w:val="single" w:color="auto" w:sz="4" w:space="0"/>
              <w:right w:val="single" w:color="auto" w:sz="4" w:space="0"/>
            </w:tcBorders>
            <w:vAlign w:val="center"/>
          </w:tcPr>
          <w:p>
            <w:pPr>
              <w:ind w:firstLine="360"/>
              <w:jc w:val="center"/>
              <w:rPr>
                <w:sz w:val="18"/>
                <w:szCs w:val="18"/>
              </w:rPr>
            </w:pPr>
          </w:p>
        </w:tc>
        <w:tc>
          <w:tcPr>
            <w:tcW w:w="650" w:type="dxa"/>
            <w:gridSpan w:val="2"/>
            <w:vMerge w:val="continue"/>
            <w:tcBorders>
              <w:top w:val="single" w:color="auto" w:sz="4" w:space="0"/>
              <w:left w:val="single" w:color="auto" w:sz="4" w:space="0"/>
              <w:bottom w:val="single" w:color="auto" w:sz="4" w:space="0"/>
              <w:right w:val="single" w:color="auto" w:sz="4" w:space="0"/>
            </w:tcBorders>
            <w:vAlign w:val="center"/>
          </w:tcPr>
          <w:p>
            <w:pPr>
              <w:ind w:firstLine="360"/>
              <w:jc w:val="center"/>
              <w:rPr>
                <w:sz w:val="18"/>
                <w:szCs w:val="18"/>
              </w:rPr>
            </w:pPr>
          </w:p>
        </w:tc>
        <w:tc>
          <w:tcPr>
            <w:tcW w:w="625" w:type="dxa"/>
            <w:vMerge w:val="continue"/>
            <w:tcBorders>
              <w:top w:val="single" w:color="auto" w:sz="4" w:space="0"/>
              <w:left w:val="single" w:color="auto" w:sz="4" w:space="0"/>
              <w:bottom w:val="single" w:color="auto" w:sz="4" w:space="0"/>
              <w:right w:val="single" w:color="auto" w:sz="4" w:space="0"/>
            </w:tcBorders>
            <w:vAlign w:val="center"/>
          </w:tcPr>
          <w:p>
            <w:pPr>
              <w:ind w:firstLine="360"/>
              <w:jc w:val="center"/>
              <w:rPr>
                <w:sz w:val="18"/>
                <w:szCs w:val="18"/>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ind w:firstLine="360"/>
              <w:jc w:val="center"/>
              <w:rPr>
                <w:sz w:val="18"/>
                <w:szCs w:val="18"/>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ind w:firstLine="360"/>
              <w:jc w:val="center"/>
              <w:rPr>
                <w:sz w:val="18"/>
                <w:szCs w:val="18"/>
              </w:rPr>
            </w:pPr>
          </w:p>
        </w:tc>
        <w:tc>
          <w:tcPr>
            <w:tcW w:w="709"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学位</w:t>
            </w:r>
          </w:p>
        </w:tc>
        <w:tc>
          <w:tcPr>
            <w:tcW w:w="851" w:type="dxa"/>
            <w:gridSpan w:val="3"/>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职务</w:t>
            </w:r>
          </w:p>
        </w:tc>
      </w:tr>
      <w:tr>
        <w:tblPrEx>
          <w:tblCellMar>
            <w:top w:w="0" w:type="dxa"/>
            <w:left w:w="108" w:type="dxa"/>
            <w:bottom w:w="0" w:type="dxa"/>
            <w:right w:w="108" w:type="dxa"/>
          </w:tblCellMar>
        </w:tblPrEx>
        <w:trPr>
          <w:trHeight w:val="735" w:hRule="atLeast"/>
        </w:trPr>
        <w:tc>
          <w:tcPr>
            <w:tcW w:w="567" w:type="dxa"/>
            <w:tcBorders>
              <w:top w:val="nil"/>
              <w:left w:val="single" w:color="auto" w:sz="4" w:space="0"/>
              <w:bottom w:val="single" w:color="auto" w:sz="4" w:space="0"/>
              <w:right w:val="single" w:color="auto" w:sz="4" w:space="0"/>
            </w:tcBorders>
            <w:vAlign w:val="center"/>
          </w:tcPr>
          <w:p>
            <w:pPr>
              <w:ind w:firstLineChars="111"/>
              <w:jc w:val="center"/>
              <w:rPr>
                <w:sz w:val="18"/>
                <w:szCs w:val="18"/>
              </w:rPr>
            </w:pPr>
            <w:r>
              <w:rPr>
                <w:rFonts w:hint="eastAsia"/>
                <w:sz w:val="18"/>
                <w:szCs w:val="18"/>
              </w:rPr>
              <w:t>1</w:t>
            </w:r>
          </w:p>
        </w:tc>
        <w:tc>
          <w:tcPr>
            <w:tcW w:w="1560"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华为云计算</w:t>
            </w:r>
            <w:r>
              <w:rPr>
                <w:sz w:val="18"/>
                <w:szCs w:val="18"/>
              </w:rPr>
              <w:t>ICT</w:t>
            </w:r>
            <w:r>
              <w:rPr>
                <w:rFonts w:hint="eastAsia"/>
                <w:sz w:val="18"/>
                <w:szCs w:val="18"/>
              </w:rPr>
              <w:t>培训项目</w:t>
            </w:r>
          </w:p>
        </w:tc>
        <w:tc>
          <w:tcPr>
            <w:tcW w:w="850"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林旭澜</w:t>
            </w:r>
          </w:p>
        </w:tc>
        <w:tc>
          <w:tcPr>
            <w:tcW w:w="1276"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揭阳捷和职业技术学校</w:t>
            </w:r>
          </w:p>
        </w:tc>
        <w:tc>
          <w:tcPr>
            <w:tcW w:w="709" w:type="dxa"/>
            <w:gridSpan w:val="2"/>
            <w:tcBorders>
              <w:top w:val="nil"/>
              <w:left w:val="nil"/>
              <w:bottom w:val="single" w:color="auto" w:sz="4" w:space="0"/>
              <w:right w:val="single" w:color="auto" w:sz="4" w:space="0"/>
            </w:tcBorders>
            <w:vAlign w:val="center"/>
          </w:tcPr>
          <w:p>
            <w:pPr>
              <w:ind w:firstLineChars="111"/>
              <w:jc w:val="center"/>
              <w:rPr>
                <w:sz w:val="18"/>
                <w:szCs w:val="18"/>
              </w:rPr>
            </w:pPr>
            <w:r>
              <w:rPr>
                <w:rFonts w:hint="eastAsia"/>
                <w:sz w:val="18"/>
                <w:szCs w:val="18"/>
              </w:rPr>
              <w:t>男</w:t>
            </w:r>
          </w:p>
        </w:tc>
        <w:tc>
          <w:tcPr>
            <w:tcW w:w="650"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群众</w:t>
            </w:r>
          </w:p>
        </w:tc>
        <w:tc>
          <w:tcPr>
            <w:tcW w:w="625"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42</w:t>
            </w:r>
          </w:p>
        </w:tc>
        <w:tc>
          <w:tcPr>
            <w:tcW w:w="709"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17</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计算机科学与教育</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大学本科</w:t>
            </w:r>
          </w:p>
        </w:tc>
        <w:tc>
          <w:tcPr>
            <w:tcW w:w="851" w:type="dxa"/>
            <w:gridSpan w:val="3"/>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中学一级教师</w:t>
            </w:r>
          </w:p>
        </w:tc>
      </w:tr>
      <w:tr>
        <w:tblPrEx>
          <w:tblCellMar>
            <w:top w:w="0" w:type="dxa"/>
            <w:left w:w="108" w:type="dxa"/>
            <w:bottom w:w="0" w:type="dxa"/>
            <w:right w:w="108" w:type="dxa"/>
          </w:tblCellMar>
        </w:tblPrEx>
        <w:trPr>
          <w:trHeight w:val="735" w:hRule="atLeast"/>
        </w:trPr>
        <w:tc>
          <w:tcPr>
            <w:tcW w:w="567" w:type="dxa"/>
            <w:tcBorders>
              <w:top w:val="nil"/>
              <w:left w:val="single" w:color="auto" w:sz="4" w:space="0"/>
              <w:bottom w:val="single" w:color="auto" w:sz="4" w:space="0"/>
              <w:right w:val="single" w:color="auto" w:sz="4" w:space="0"/>
            </w:tcBorders>
            <w:vAlign w:val="center"/>
          </w:tcPr>
          <w:p>
            <w:pPr>
              <w:ind w:firstLineChars="111"/>
              <w:jc w:val="center"/>
              <w:rPr>
                <w:sz w:val="18"/>
                <w:szCs w:val="18"/>
              </w:rPr>
            </w:pPr>
            <w:r>
              <w:rPr>
                <w:rFonts w:hint="eastAsia"/>
                <w:sz w:val="18"/>
                <w:szCs w:val="18"/>
              </w:rPr>
              <w:t>2</w:t>
            </w:r>
          </w:p>
        </w:tc>
        <w:tc>
          <w:tcPr>
            <w:tcW w:w="1560"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华为云计算</w:t>
            </w:r>
            <w:r>
              <w:rPr>
                <w:sz w:val="18"/>
                <w:szCs w:val="18"/>
              </w:rPr>
              <w:t>ICT</w:t>
            </w:r>
            <w:r>
              <w:rPr>
                <w:rFonts w:hint="eastAsia"/>
                <w:sz w:val="18"/>
                <w:szCs w:val="18"/>
              </w:rPr>
              <w:t>培训项目</w:t>
            </w:r>
          </w:p>
        </w:tc>
        <w:tc>
          <w:tcPr>
            <w:tcW w:w="850"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黄曼伟</w:t>
            </w:r>
          </w:p>
        </w:tc>
        <w:tc>
          <w:tcPr>
            <w:tcW w:w="1276"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揭阳捷和职业技术学校</w:t>
            </w:r>
          </w:p>
        </w:tc>
        <w:tc>
          <w:tcPr>
            <w:tcW w:w="709" w:type="dxa"/>
            <w:gridSpan w:val="2"/>
            <w:tcBorders>
              <w:top w:val="nil"/>
              <w:left w:val="nil"/>
              <w:bottom w:val="single" w:color="auto" w:sz="4" w:space="0"/>
              <w:right w:val="single" w:color="auto" w:sz="4" w:space="0"/>
            </w:tcBorders>
            <w:vAlign w:val="center"/>
          </w:tcPr>
          <w:p>
            <w:pPr>
              <w:ind w:firstLineChars="111"/>
              <w:jc w:val="center"/>
              <w:rPr>
                <w:sz w:val="18"/>
                <w:szCs w:val="18"/>
              </w:rPr>
            </w:pPr>
            <w:r>
              <w:rPr>
                <w:rFonts w:hint="eastAsia"/>
                <w:sz w:val="18"/>
                <w:szCs w:val="18"/>
              </w:rPr>
              <w:t>男</w:t>
            </w:r>
          </w:p>
        </w:tc>
        <w:tc>
          <w:tcPr>
            <w:tcW w:w="650"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群众</w:t>
            </w:r>
          </w:p>
        </w:tc>
        <w:tc>
          <w:tcPr>
            <w:tcW w:w="625"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36</w:t>
            </w:r>
          </w:p>
        </w:tc>
        <w:tc>
          <w:tcPr>
            <w:tcW w:w="709"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13</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计算机科学与技术</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大学本科</w:t>
            </w:r>
          </w:p>
        </w:tc>
        <w:tc>
          <w:tcPr>
            <w:tcW w:w="851" w:type="dxa"/>
            <w:gridSpan w:val="3"/>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中学二级教师</w:t>
            </w:r>
          </w:p>
        </w:tc>
      </w:tr>
      <w:tr>
        <w:tblPrEx>
          <w:tblCellMar>
            <w:top w:w="0" w:type="dxa"/>
            <w:left w:w="108" w:type="dxa"/>
            <w:bottom w:w="0" w:type="dxa"/>
            <w:right w:w="108" w:type="dxa"/>
          </w:tblCellMar>
        </w:tblPrEx>
        <w:trPr>
          <w:trHeight w:val="735" w:hRule="atLeast"/>
        </w:trPr>
        <w:tc>
          <w:tcPr>
            <w:tcW w:w="567" w:type="dxa"/>
            <w:tcBorders>
              <w:top w:val="nil"/>
              <w:left w:val="single" w:color="auto" w:sz="4" w:space="0"/>
              <w:bottom w:val="single" w:color="auto" w:sz="4" w:space="0"/>
              <w:right w:val="single" w:color="auto" w:sz="4" w:space="0"/>
            </w:tcBorders>
            <w:vAlign w:val="center"/>
          </w:tcPr>
          <w:p>
            <w:pPr>
              <w:ind w:firstLineChars="111"/>
              <w:jc w:val="center"/>
              <w:rPr>
                <w:sz w:val="18"/>
                <w:szCs w:val="18"/>
              </w:rPr>
            </w:pPr>
            <w:r>
              <w:rPr>
                <w:rFonts w:hint="eastAsia"/>
                <w:sz w:val="18"/>
                <w:szCs w:val="18"/>
              </w:rPr>
              <w:t>3</w:t>
            </w:r>
          </w:p>
        </w:tc>
        <w:tc>
          <w:tcPr>
            <w:tcW w:w="1560"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华为云计算</w:t>
            </w:r>
            <w:r>
              <w:rPr>
                <w:sz w:val="18"/>
                <w:szCs w:val="18"/>
              </w:rPr>
              <w:t>ICT</w:t>
            </w:r>
            <w:r>
              <w:rPr>
                <w:rFonts w:hint="eastAsia"/>
                <w:sz w:val="18"/>
                <w:szCs w:val="18"/>
              </w:rPr>
              <w:t>培训项目</w:t>
            </w:r>
          </w:p>
        </w:tc>
        <w:tc>
          <w:tcPr>
            <w:tcW w:w="850"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吴小敏</w:t>
            </w:r>
          </w:p>
        </w:tc>
        <w:tc>
          <w:tcPr>
            <w:tcW w:w="1276"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揭阳捷和职业技术学校</w:t>
            </w:r>
          </w:p>
        </w:tc>
        <w:tc>
          <w:tcPr>
            <w:tcW w:w="709" w:type="dxa"/>
            <w:gridSpan w:val="2"/>
            <w:tcBorders>
              <w:top w:val="nil"/>
              <w:left w:val="nil"/>
              <w:bottom w:val="single" w:color="auto" w:sz="4" w:space="0"/>
              <w:right w:val="single" w:color="auto" w:sz="4" w:space="0"/>
            </w:tcBorders>
            <w:vAlign w:val="center"/>
          </w:tcPr>
          <w:p>
            <w:pPr>
              <w:ind w:firstLineChars="111"/>
              <w:jc w:val="center"/>
              <w:rPr>
                <w:sz w:val="18"/>
                <w:szCs w:val="18"/>
              </w:rPr>
            </w:pPr>
            <w:r>
              <w:rPr>
                <w:rFonts w:hint="eastAsia"/>
                <w:sz w:val="18"/>
                <w:szCs w:val="18"/>
              </w:rPr>
              <w:t>女</w:t>
            </w:r>
          </w:p>
        </w:tc>
        <w:tc>
          <w:tcPr>
            <w:tcW w:w="650"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群众</w:t>
            </w:r>
          </w:p>
        </w:tc>
        <w:tc>
          <w:tcPr>
            <w:tcW w:w="625"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28</w:t>
            </w:r>
          </w:p>
        </w:tc>
        <w:tc>
          <w:tcPr>
            <w:tcW w:w="709"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2</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计算机科学与教育</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大学本科</w:t>
            </w:r>
          </w:p>
        </w:tc>
        <w:tc>
          <w:tcPr>
            <w:tcW w:w="851" w:type="dxa"/>
            <w:gridSpan w:val="3"/>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助教</w:t>
            </w:r>
          </w:p>
        </w:tc>
      </w:tr>
      <w:tr>
        <w:tblPrEx>
          <w:tblCellMar>
            <w:top w:w="0" w:type="dxa"/>
            <w:left w:w="108" w:type="dxa"/>
            <w:bottom w:w="0" w:type="dxa"/>
            <w:right w:w="108" w:type="dxa"/>
          </w:tblCellMar>
        </w:tblPrEx>
        <w:trPr>
          <w:trHeight w:val="735" w:hRule="atLeast"/>
        </w:trPr>
        <w:tc>
          <w:tcPr>
            <w:tcW w:w="567" w:type="dxa"/>
            <w:tcBorders>
              <w:top w:val="nil"/>
              <w:left w:val="single" w:color="auto" w:sz="4" w:space="0"/>
              <w:bottom w:val="single" w:color="auto" w:sz="4" w:space="0"/>
              <w:right w:val="single" w:color="auto" w:sz="4" w:space="0"/>
            </w:tcBorders>
            <w:vAlign w:val="center"/>
          </w:tcPr>
          <w:p>
            <w:pPr>
              <w:ind w:firstLineChars="111"/>
              <w:jc w:val="center"/>
              <w:rPr>
                <w:sz w:val="18"/>
                <w:szCs w:val="18"/>
              </w:rPr>
            </w:pPr>
            <w:r>
              <w:rPr>
                <w:rFonts w:hint="eastAsia"/>
                <w:sz w:val="18"/>
                <w:szCs w:val="18"/>
              </w:rPr>
              <w:t>4</w:t>
            </w:r>
          </w:p>
        </w:tc>
        <w:tc>
          <w:tcPr>
            <w:tcW w:w="1560"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华为云计算</w:t>
            </w:r>
            <w:r>
              <w:rPr>
                <w:sz w:val="18"/>
                <w:szCs w:val="18"/>
              </w:rPr>
              <w:t>ICT</w:t>
            </w:r>
            <w:r>
              <w:rPr>
                <w:rFonts w:hint="eastAsia"/>
                <w:sz w:val="18"/>
                <w:szCs w:val="18"/>
              </w:rPr>
              <w:t>培训项目</w:t>
            </w:r>
          </w:p>
        </w:tc>
        <w:tc>
          <w:tcPr>
            <w:tcW w:w="850"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杨穗生</w:t>
            </w:r>
          </w:p>
        </w:tc>
        <w:tc>
          <w:tcPr>
            <w:tcW w:w="1276"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揭阳捷和职业技术学校</w:t>
            </w:r>
          </w:p>
        </w:tc>
        <w:tc>
          <w:tcPr>
            <w:tcW w:w="709" w:type="dxa"/>
            <w:gridSpan w:val="2"/>
            <w:tcBorders>
              <w:top w:val="nil"/>
              <w:left w:val="nil"/>
              <w:bottom w:val="single" w:color="auto" w:sz="4" w:space="0"/>
              <w:right w:val="single" w:color="auto" w:sz="4" w:space="0"/>
            </w:tcBorders>
            <w:vAlign w:val="center"/>
          </w:tcPr>
          <w:p>
            <w:pPr>
              <w:ind w:firstLineChars="111"/>
              <w:jc w:val="center"/>
              <w:rPr>
                <w:sz w:val="18"/>
                <w:szCs w:val="18"/>
              </w:rPr>
            </w:pPr>
            <w:r>
              <w:rPr>
                <w:rFonts w:hint="eastAsia"/>
                <w:sz w:val="18"/>
                <w:szCs w:val="18"/>
              </w:rPr>
              <w:t>男</w:t>
            </w:r>
          </w:p>
        </w:tc>
        <w:tc>
          <w:tcPr>
            <w:tcW w:w="650"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党员</w:t>
            </w:r>
          </w:p>
        </w:tc>
        <w:tc>
          <w:tcPr>
            <w:tcW w:w="625"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43</w:t>
            </w:r>
          </w:p>
        </w:tc>
        <w:tc>
          <w:tcPr>
            <w:tcW w:w="709"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20</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计算机科学与教育</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大学本科</w:t>
            </w:r>
          </w:p>
        </w:tc>
        <w:tc>
          <w:tcPr>
            <w:tcW w:w="851" w:type="dxa"/>
            <w:gridSpan w:val="3"/>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中学一级教师</w:t>
            </w:r>
          </w:p>
        </w:tc>
      </w:tr>
    </w:tbl>
    <w:p>
      <w:pPr>
        <w:ind w:firstLine="480"/>
        <w:rPr>
          <w:rFonts w:hint="eastAsia" w:ascii="宋体" w:hAnsi="宋体"/>
        </w:rPr>
      </w:pPr>
      <w:r>
        <w:rPr>
          <w:rFonts w:hint="eastAsia" w:ascii="宋体" w:hAnsi="宋体"/>
        </w:rPr>
        <w:t>7.参加其他各类培训情况</w:t>
      </w:r>
    </w:p>
    <w:p>
      <w:pPr>
        <w:ind w:firstLine="480"/>
        <w:rPr>
          <w:rFonts w:hint="eastAsia" w:ascii="宋体" w:hAnsi="宋体"/>
        </w:rPr>
      </w:pPr>
      <w:r>
        <w:rPr>
          <w:rFonts w:hint="eastAsia" w:ascii="宋体" w:hAnsi="宋体"/>
        </w:rPr>
        <w:t>（1）2019年3月1-2日周婉老师带学生到顺德胡锦超职业技术学校参加2018-2019年度广东省职业院校学生专业技能大赛（中职）“动漫设计与制作”比赛；</w:t>
      </w:r>
    </w:p>
    <w:p>
      <w:pPr>
        <w:ind w:firstLine="480"/>
        <w:rPr>
          <w:rFonts w:hint="eastAsia" w:ascii="宋体" w:hAnsi="宋体"/>
        </w:rPr>
      </w:pPr>
      <w:r>
        <w:rPr>
          <w:rFonts w:hint="eastAsia" w:ascii="宋体" w:hAnsi="宋体"/>
        </w:rPr>
        <w:t>（2）2019年3月13-14日方概惠、吴小敏两位老师带学生到东莞市电子科技学校参加2018-2019年度广东省职业院校学生专业技能大赛（中职组）计算机检测维修与数据恢复比赛；</w:t>
      </w:r>
    </w:p>
    <w:p>
      <w:pPr>
        <w:ind w:firstLine="480"/>
        <w:rPr>
          <w:rFonts w:hint="eastAsia" w:ascii="宋体" w:hAnsi="宋体"/>
        </w:rPr>
      </w:pPr>
      <w:r>
        <w:rPr>
          <w:rFonts w:hint="eastAsia" w:ascii="宋体" w:hAnsi="宋体"/>
        </w:rPr>
        <w:t>（3）2019年3月15-16日朱旭彬主任带学生到佛山市顺德区陈村职业技术学校参加2018-2019年度广东省职业院校学生专业技能大赛（中职组）幼儿园活动设计比赛；</w:t>
      </w:r>
    </w:p>
    <w:p>
      <w:pPr>
        <w:ind w:firstLine="480"/>
        <w:rPr>
          <w:rFonts w:hint="eastAsia" w:ascii="宋体" w:hAnsi="宋体"/>
        </w:rPr>
      </w:pPr>
      <w:r>
        <w:rPr>
          <w:rFonts w:hint="eastAsia" w:ascii="宋体" w:hAnsi="宋体"/>
        </w:rPr>
        <w:t>（4）2019年3月15-17日佘燕杰科长、陈桂玲老师带学生到广州市旅游商务职业学校参加2018-2019年度广东省职业院校学生专业技能大赛（中职组）酒店服务比赛；</w:t>
      </w:r>
    </w:p>
    <w:p>
      <w:pPr>
        <w:ind w:firstLine="480"/>
        <w:rPr>
          <w:rFonts w:hint="eastAsia" w:ascii="宋体" w:hAnsi="宋体"/>
        </w:rPr>
      </w:pPr>
      <w:r>
        <w:rPr>
          <w:rFonts w:hint="eastAsia" w:ascii="宋体" w:hAnsi="宋体"/>
        </w:rPr>
        <w:t>（5）2019年3月21-23日叶相杰、朱昌福两位老师带3名学生到佛山市顺德区郑敬诒职业技术学校参加2018-2019年度广东省职业院校学生专业技能大赛数控综合应用技术比赛；</w:t>
      </w:r>
    </w:p>
    <w:p>
      <w:pPr>
        <w:ind w:firstLine="480"/>
        <w:rPr>
          <w:rFonts w:hint="eastAsia" w:ascii="宋体" w:hAnsi="宋体"/>
        </w:rPr>
      </w:pPr>
      <w:r>
        <w:rPr>
          <w:rFonts w:hint="eastAsia" w:ascii="宋体" w:hAnsi="宋体"/>
        </w:rPr>
        <w:t>（6）2019年3月22-23日林佳恩科长、林伟生和方清榕两位老师带4名学生到广州市财经职业学校参加2018-2019年度广东省职业院校学生专业技能大赛（中职）沙盘模拟企业经营比赛；</w:t>
      </w:r>
    </w:p>
    <w:p>
      <w:pPr>
        <w:ind w:firstLine="480"/>
        <w:rPr>
          <w:rFonts w:hint="eastAsia" w:ascii="宋体" w:hAnsi="宋体"/>
        </w:rPr>
      </w:pPr>
      <w:r>
        <w:rPr>
          <w:rFonts w:hint="eastAsia" w:ascii="宋体" w:hAnsi="宋体"/>
        </w:rPr>
        <w:t>（7）2019年3月27-28日陈芷婷老师带学生到广东文艺职业学院参加2018-2019年度广东省职业院校学生专业技能大赛（中职组）艺术专业技能（中国舞表演）比赛；</w:t>
      </w:r>
    </w:p>
    <w:p>
      <w:pPr>
        <w:ind w:firstLine="480"/>
        <w:rPr>
          <w:rFonts w:hint="eastAsia" w:ascii="宋体" w:hAnsi="宋体"/>
        </w:rPr>
      </w:pPr>
      <w:r>
        <w:rPr>
          <w:rFonts w:hint="eastAsia" w:ascii="宋体" w:hAnsi="宋体"/>
        </w:rPr>
        <w:t>（8）2019年4月9-10日郭丽华、翁婉琦两位老师到广州参加广东省“3+专业技能课程证书”考试辅导教材编写会议；</w:t>
      </w:r>
    </w:p>
    <w:p>
      <w:pPr>
        <w:ind w:firstLine="480"/>
        <w:rPr>
          <w:rFonts w:hint="eastAsia" w:ascii="宋体" w:hAnsi="宋体"/>
        </w:rPr>
      </w:pPr>
      <w:r>
        <w:rPr>
          <w:rFonts w:hint="eastAsia" w:ascii="宋体" w:hAnsi="宋体"/>
        </w:rPr>
        <w:t>（9）2019年4月10-20日林丽娜副校长到北京参加揭阳名校长工程——卓越中学校长高级研修班集中学习；</w:t>
      </w:r>
    </w:p>
    <w:p>
      <w:pPr>
        <w:ind w:firstLine="480"/>
        <w:rPr>
          <w:rFonts w:hint="eastAsia" w:ascii="宋体" w:hAnsi="宋体"/>
        </w:rPr>
      </w:pPr>
      <w:r>
        <w:rPr>
          <w:rFonts w:hint="eastAsia" w:ascii="宋体" w:hAnsi="宋体"/>
        </w:rPr>
        <w:t>（10）2019年4月12-13日卢文升副校长等4人到深圳参加“广东省中等职业学校特色课程教学资源（微/慕课）开发”研讨会；</w:t>
      </w:r>
    </w:p>
    <w:p>
      <w:pPr>
        <w:ind w:firstLine="480"/>
        <w:rPr>
          <w:rFonts w:hint="eastAsia" w:ascii="宋体" w:hAnsi="宋体"/>
        </w:rPr>
      </w:pPr>
      <w:r>
        <w:rPr>
          <w:rFonts w:hint="eastAsia" w:ascii="宋体" w:hAnsi="宋体"/>
        </w:rPr>
        <w:t>（11）2019年5月26日—6月2日陈同坤科长到广州市参加2019年省级校园足球专项培训；</w:t>
      </w:r>
    </w:p>
    <w:p>
      <w:pPr>
        <w:ind w:firstLine="480"/>
        <w:rPr>
          <w:rFonts w:hint="eastAsia" w:ascii="宋体" w:hAnsi="宋体"/>
        </w:rPr>
      </w:pPr>
      <w:r>
        <w:rPr>
          <w:rFonts w:hint="eastAsia" w:ascii="宋体" w:hAnsi="宋体"/>
        </w:rPr>
        <w:t>（12）2019年5月6-7日佘燕杰科长、夏广通老师到光电农工商职业技术学院参加2019年中高职衔接三二分段转段考核工作会议；</w:t>
      </w:r>
    </w:p>
    <w:p>
      <w:pPr>
        <w:ind w:firstLine="480"/>
        <w:rPr>
          <w:rFonts w:hint="eastAsia" w:ascii="宋体" w:hAnsi="宋体"/>
        </w:rPr>
      </w:pPr>
      <w:r>
        <w:rPr>
          <w:rFonts w:hint="eastAsia" w:ascii="宋体" w:hAnsi="宋体"/>
        </w:rPr>
        <w:t>（13）2019年5月28-29日方清榕老师到广州市商贸职业学校参加新税收政策培训暨广东省职业技术教育学会财经总结、专业指导委员会2019年年会；</w:t>
      </w:r>
    </w:p>
    <w:p>
      <w:pPr>
        <w:ind w:firstLine="480"/>
        <w:rPr>
          <w:rFonts w:hint="eastAsia" w:ascii="宋体" w:hAnsi="宋体"/>
        </w:rPr>
      </w:pPr>
      <w:r>
        <w:rPr>
          <w:rFonts w:hint="eastAsia" w:ascii="宋体" w:hAnsi="宋体"/>
        </w:rPr>
        <w:t>（14）2019年6月13-14日刘洁纯老师到东莞理工学校参加中高衔接人才培养交流研讨会；</w:t>
      </w:r>
    </w:p>
    <w:p>
      <w:pPr>
        <w:pStyle w:val="4"/>
      </w:pPr>
      <w:bookmarkStart w:id="116" w:name="_Toc29995147"/>
      <w:r>
        <w:rPr>
          <w:rFonts w:hint="eastAsia"/>
        </w:rPr>
        <w:t>3.2.3课程建设情况</w:t>
      </w:r>
      <w:bookmarkEnd w:id="115"/>
      <w:bookmarkEnd w:id="116"/>
    </w:p>
    <w:p>
      <w:pPr>
        <w:pStyle w:val="10"/>
      </w:pPr>
      <w:bookmarkStart w:id="117" w:name="_Toc472000979"/>
      <w:bookmarkStart w:id="118" w:name="_Toc29995148"/>
      <w:bookmarkStart w:id="119" w:name="_Toc505003799"/>
      <w:r>
        <w:rPr>
          <w:rFonts w:hint="eastAsia"/>
          <w:sz w:val="28"/>
          <w:szCs w:val="28"/>
        </w:rPr>
        <w:t>3.2.3.1</w:t>
      </w:r>
      <w:r>
        <w:rPr>
          <w:rFonts w:hint="eastAsia"/>
        </w:rPr>
        <w:t>校企合作，共同开发“技能</w:t>
      </w:r>
      <w:r>
        <w:t>+</w:t>
      </w:r>
      <w:r>
        <w:rPr>
          <w:rFonts w:hint="eastAsia"/>
        </w:rPr>
        <w:t>素养”精品课程</w:t>
      </w:r>
      <w:bookmarkEnd w:id="117"/>
      <w:bookmarkEnd w:id="118"/>
      <w:bookmarkEnd w:id="119"/>
    </w:p>
    <w:p>
      <w:pPr>
        <w:ind w:firstLine="480"/>
      </w:pPr>
      <w:r>
        <w:rPr>
          <w:rFonts w:hint="eastAsia"/>
        </w:rPr>
        <w:t>目前学校共有课程</w:t>
      </w:r>
      <w:r>
        <w:t>384</w:t>
      </w:r>
      <w:r>
        <w:rPr>
          <w:rFonts w:hint="eastAsia"/>
        </w:rPr>
        <w:t>个，涉及重点专业课程共</w:t>
      </w:r>
      <w:r>
        <w:t>90</w:t>
      </w:r>
      <w:r>
        <w:rPr>
          <w:rFonts w:hint="eastAsia"/>
        </w:rPr>
        <w:t>多门。学校各专业的相应课程设置均是根据国家中等职业学校专业课程大纲要求设置，并根据学校的实际情况进行相应的调整。具体情况如下：</w:t>
      </w:r>
    </w:p>
    <w:p>
      <w:pPr>
        <w:ind w:firstLine="480"/>
      </w:pPr>
      <w:r>
        <w:rPr>
          <w:rFonts w:hint="eastAsia"/>
        </w:rPr>
        <w:t>现代学徒制要求校企双方实施工学结合培养人才，共同研制人才培养方案，共同开发课程和教材等。</w:t>
      </w:r>
    </w:p>
    <w:p>
      <w:pPr>
        <w:ind w:firstLine="480"/>
      </w:pPr>
      <w:r>
        <w:rPr>
          <w:rFonts w:hint="eastAsia"/>
        </w:rPr>
        <w:t>我校坚持以企业要求育人，而企业需要是既能干又肯干的技能人才，要求学生不单要有过硬的专业技能，还要有良好的职业素养。教职成厅</w:t>
      </w:r>
      <w:r>
        <w:t>[2012]5</w:t>
      </w:r>
      <w:r>
        <w:rPr>
          <w:rFonts w:hint="eastAsia"/>
        </w:rPr>
        <w:t>号文中也明确了中职学校各专业的人才培养规格分为：职业素养、专业知识与专业技能两部分。所以，在课程体系的构建和课程内容的开发上一定要做到职业素养与专业技能并重，才能更好的对接企业要求和职业标准。我校各专业充分开展企业调研，调查分析各专业人才需求，归纳对接职业岗位和工作任务，基于工作过程进行能力要求分析，最后进行课程对接，科学编制课程体系。在实施过程中，不断依托企业资源，按照实岗的操作要求和生产标准大力开展行业实践性课程开发，通过企业提供内部核心课程、校企共同开发课程、校本开发课程等方式加强专业课程建设，开发课程与教材，实现课程内容对接职业标准。</w:t>
      </w:r>
    </w:p>
    <w:p>
      <w:pPr>
        <w:pStyle w:val="10"/>
      </w:pPr>
      <w:bookmarkStart w:id="120" w:name="_Toc29995149"/>
      <w:bookmarkStart w:id="121" w:name="_Toc505003800"/>
      <w:bookmarkStart w:id="122" w:name="_Toc472000980"/>
      <w:r>
        <w:rPr>
          <w:rFonts w:hint="eastAsia"/>
          <w:sz w:val="28"/>
          <w:szCs w:val="28"/>
        </w:rPr>
        <w:t>3.2.3.2</w:t>
      </w:r>
      <w:r>
        <w:rPr>
          <w:rFonts w:hint="eastAsia"/>
        </w:rPr>
        <w:t>根椐学校教学实际，编写出版教材和开发校本教材</w:t>
      </w:r>
      <w:bookmarkEnd w:id="120"/>
      <w:bookmarkEnd w:id="121"/>
      <w:bookmarkEnd w:id="122"/>
    </w:p>
    <w:p>
      <w:pPr>
        <w:ind w:firstLine="480"/>
      </w:pPr>
      <w:bookmarkStart w:id="123" w:name="_Toc472000981"/>
      <w:r>
        <w:rPr>
          <w:rFonts w:hint="eastAsia"/>
        </w:rPr>
        <w:t>学期初，召开语文教材编写与使用总结研讨会，深入总结了语文教育教学的经验，为学校语文新教材的实施和推进奠定了扎实的基础，也为其他专业、学科编写教材做出示范。</w:t>
      </w:r>
    </w:p>
    <w:p>
      <w:pPr>
        <w:ind w:firstLine="480"/>
        <w:jc w:val="left"/>
      </w:pPr>
      <w:r>
        <w:rPr>
          <w:rFonts w:hint="eastAsia"/>
        </w:rPr>
        <w:t>在专业、学科课程建设方面，在原有已开发的</w:t>
      </w:r>
      <w:r>
        <w:t>12</w:t>
      </w:r>
      <w:r>
        <w:rPr>
          <w:rFonts w:hint="eastAsia"/>
        </w:rPr>
        <w:t>本教材的基础上，今年开发的教材如下表：</w:t>
      </w:r>
    </w:p>
    <w:p>
      <w:pPr>
        <w:ind w:firstLine="480"/>
        <w:jc w:val="center"/>
        <w:rPr>
          <w:rFonts w:hint="eastAsia" w:ascii="宋体" w:hAnsi="宋体"/>
        </w:rPr>
      </w:pPr>
    </w:p>
    <w:p>
      <w:pPr>
        <w:ind w:left="0" w:leftChars="0" w:firstLine="0" w:firstLineChars="0"/>
        <w:jc w:val="both"/>
        <w:rPr>
          <w:rFonts w:hint="eastAsia" w:ascii="宋体" w:hAnsi="宋体"/>
        </w:rPr>
      </w:pPr>
    </w:p>
    <w:p>
      <w:pPr>
        <w:ind w:firstLine="480"/>
        <w:jc w:val="center"/>
        <w:rPr>
          <w:rFonts w:ascii="宋体" w:hAnsi="宋体"/>
        </w:rPr>
      </w:pPr>
      <w:r>
        <w:rPr>
          <w:rFonts w:hint="eastAsia" w:ascii="宋体" w:hAnsi="宋体"/>
        </w:rPr>
        <w:t>教材开发统计表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038"/>
        <w:gridCol w:w="1843"/>
        <w:gridCol w:w="1959"/>
        <w:gridCol w:w="2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20" w:type="dxa"/>
            <w:shd w:val="clear" w:color="auto" w:fill="EEECE1"/>
            <w:vAlign w:val="center"/>
          </w:tcPr>
          <w:p>
            <w:pPr>
              <w:pStyle w:val="22"/>
            </w:pPr>
            <w:r>
              <w:rPr>
                <w:rFonts w:hint="eastAsia"/>
              </w:rPr>
              <w:t>序号</w:t>
            </w:r>
          </w:p>
        </w:tc>
        <w:tc>
          <w:tcPr>
            <w:tcW w:w="3038" w:type="dxa"/>
            <w:shd w:val="clear" w:color="auto" w:fill="EEECE1"/>
            <w:vAlign w:val="center"/>
          </w:tcPr>
          <w:p>
            <w:pPr>
              <w:pStyle w:val="22"/>
            </w:pPr>
            <w:r>
              <w:rPr>
                <w:rFonts w:hint="eastAsia"/>
              </w:rPr>
              <w:t>教材名称</w:t>
            </w:r>
          </w:p>
        </w:tc>
        <w:tc>
          <w:tcPr>
            <w:tcW w:w="1843" w:type="dxa"/>
            <w:shd w:val="clear" w:color="auto" w:fill="EEECE1"/>
            <w:vAlign w:val="center"/>
          </w:tcPr>
          <w:p>
            <w:pPr>
              <w:pStyle w:val="22"/>
            </w:pPr>
            <w:r>
              <w:rPr>
                <w:rFonts w:hint="eastAsia"/>
              </w:rPr>
              <w:t>出版社</w:t>
            </w:r>
          </w:p>
        </w:tc>
        <w:tc>
          <w:tcPr>
            <w:tcW w:w="1959" w:type="dxa"/>
            <w:shd w:val="clear" w:color="auto" w:fill="EEECE1"/>
            <w:vAlign w:val="center"/>
          </w:tcPr>
          <w:p>
            <w:pPr>
              <w:pStyle w:val="22"/>
            </w:pPr>
            <w:r>
              <w:rPr>
                <w:rFonts w:hint="eastAsia"/>
              </w:rPr>
              <w:t>主编</w:t>
            </w:r>
            <w:r>
              <w:t>/</w:t>
            </w:r>
            <w:r>
              <w:rPr>
                <w:rFonts w:hint="eastAsia"/>
              </w:rPr>
              <w:t>参编者</w:t>
            </w:r>
          </w:p>
        </w:tc>
        <w:tc>
          <w:tcPr>
            <w:tcW w:w="2441" w:type="dxa"/>
            <w:shd w:val="clear" w:color="auto" w:fill="EEECE1"/>
            <w:vAlign w:val="center"/>
          </w:tcPr>
          <w:p>
            <w:pPr>
              <w:pStyle w:val="22"/>
            </w:pPr>
            <w:r>
              <w:rPr>
                <w:rFonts w:hint="eastAsia"/>
              </w:rPr>
              <w:t>教材性质</w:t>
            </w:r>
            <w:r>
              <w:t>/</w:t>
            </w:r>
            <w:r>
              <w:rPr>
                <w:rFonts w:hint="eastAsia"/>
              </w:rPr>
              <w:t>出版时间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20" w:type="dxa"/>
            <w:vAlign w:val="center"/>
          </w:tcPr>
          <w:p>
            <w:pPr>
              <w:pStyle w:val="22"/>
              <w:rPr>
                <w:sz w:val="21"/>
                <w:szCs w:val="21"/>
              </w:rPr>
            </w:pPr>
            <w:r>
              <w:rPr>
                <w:sz w:val="21"/>
                <w:szCs w:val="21"/>
              </w:rPr>
              <w:t>1</w:t>
            </w:r>
          </w:p>
        </w:tc>
        <w:tc>
          <w:tcPr>
            <w:tcW w:w="3038" w:type="dxa"/>
            <w:vAlign w:val="center"/>
          </w:tcPr>
          <w:p>
            <w:pPr>
              <w:pStyle w:val="22"/>
              <w:rPr>
                <w:sz w:val="21"/>
                <w:szCs w:val="21"/>
              </w:rPr>
            </w:pPr>
            <w:r>
              <w:rPr>
                <w:rFonts w:hint="eastAsia"/>
                <w:sz w:val="21"/>
                <w:szCs w:val="21"/>
              </w:rPr>
              <w:t>《语文（基础模块）》（第一册）</w:t>
            </w:r>
          </w:p>
        </w:tc>
        <w:tc>
          <w:tcPr>
            <w:tcW w:w="1843" w:type="dxa"/>
            <w:vAlign w:val="center"/>
          </w:tcPr>
          <w:p>
            <w:pPr>
              <w:pStyle w:val="22"/>
              <w:rPr>
                <w:sz w:val="21"/>
                <w:szCs w:val="21"/>
              </w:rPr>
            </w:pPr>
            <w:r>
              <w:rPr>
                <w:rFonts w:hint="eastAsia"/>
                <w:sz w:val="21"/>
                <w:szCs w:val="21"/>
              </w:rPr>
              <w:t>天津科学技术出版社</w:t>
            </w:r>
          </w:p>
        </w:tc>
        <w:tc>
          <w:tcPr>
            <w:tcW w:w="1959" w:type="dxa"/>
            <w:vAlign w:val="center"/>
          </w:tcPr>
          <w:p>
            <w:pPr>
              <w:pStyle w:val="22"/>
              <w:rPr>
                <w:sz w:val="21"/>
                <w:szCs w:val="21"/>
              </w:rPr>
            </w:pPr>
            <w:r>
              <w:rPr>
                <w:rFonts w:hint="eastAsia"/>
                <w:sz w:val="21"/>
                <w:szCs w:val="21"/>
              </w:rPr>
              <w:t>林丽娜</w:t>
            </w:r>
            <w:r>
              <w:rPr>
                <w:sz w:val="21"/>
                <w:szCs w:val="21"/>
              </w:rPr>
              <w:t xml:space="preserve">  </w:t>
            </w:r>
            <w:r>
              <w:rPr>
                <w:rFonts w:hint="eastAsia"/>
                <w:sz w:val="21"/>
                <w:szCs w:val="21"/>
              </w:rPr>
              <w:t>林育芬</w:t>
            </w:r>
          </w:p>
        </w:tc>
        <w:tc>
          <w:tcPr>
            <w:tcW w:w="2441" w:type="dxa"/>
            <w:vAlign w:val="center"/>
          </w:tcPr>
          <w:p>
            <w:pPr>
              <w:pStyle w:val="22"/>
              <w:rPr>
                <w:sz w:val="21"/>
                <w:szCs w:val="21"/>
              </w:rPr>
            </w:pPr>
            <w:r>
              <w:rPr>
                <w:rFonts w:hint="eastAsia"/>
                <w:sz w:val="21"/>
                <w:szCs w:val="21"/>
              </w:rPr>
              <w:t>公开出版</w:t>
            </w:r>
            <w:r>
              <w:rPr>
                <w:sz w:val="21"/>
                <w:szCs w:val="21"/>
              </w:rPr>
              <w:t>2016</w:t>
            </w:r>
            <w:r>
              <w:rPr>
                <w:rFonts w:hint="eastAsia"/>
                <w:sz w:val="21"/>
                <w:szCs w:val="21"/>
              </w:rPr>
              <w:t>年</w:t>
            </w:r>
            <w:r>
              <w:rPr>
                <w:sz w:val="21"/>
                <w:szCs w:val="21"/>
              </w:rPr>
              <w:t>7</w:t>
            </w:r>
            <w:r>
              <w:rPr>
                <w:rFonts w:hint="eastAsia"/>
                <w:sz w:val="21"/>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720" w:type="dxa"/>
            <w:vAlign w:val="center"/>
          </w:tcPr>
          <w:p>
            <w:pPr>
              <w:pStyle w:val="22"/>
              <w:rPr>
                <w:sz w:val="21"/>
                <w:szCs w:val="21"/>
              </w:rPr>
            </w:pPr>
            <w:r>
              <w:rPr>
                <w:sz w:val="21"/>
                <w:szCs w:val="21"/>
              </w:rPr>
              <w:t>2</w:t>
            </w:r>
          </w:p>
        </w:tc>
        <w:tc>
          <w:tcPr>
            <w:tcW w:w="3038" w:type="dxa"/>
            <w:vAlign w:val="center"/>
          </w:tcPr>
          <w:p>
            <w:pPr>
              <w:pStyle w:val="22"/>
              <w:rPr>
                <w:sz w:val="21"/>
                <w:szCs w:val="21"/>
              </w:rPr>
            </w:pPr>
            <w:r>
              <w:rPr>
                <w:rFonts w:hint="eastAsia"/>
                <w:sz w:val="21"/>
                <w:szCs w:val="21"/>
              </w:rPr>
              <w:t>《语文（基础模块）》（第三册）</w:t>
            </w:r>
          </w:p>
        </w:tc>
        <w:tc>
          <w:tcPr>
            <w:tcW w:w="1843" w:type="dxa"/>
            <w:vAlign w:val="center"/>
          </w:tcPr>
          <w:p>
            <w:pPr>
              <w:pStyle w:val="22"/>
              <w:rPr>
                <w:sz w:val="21"/>
                <w:szCs w:val="21"/>
              </w:rPr>
            </w:pPr>
            <w:r>
              <w:rPr>
                <w:rFonts w:hint="eastAsia"/>
                <w:sz w:val="21"/>
                <w:szCs w:val="21"/>
              </w:rPr>
              <w:t>天津科学技术出版社</w:t>
            </w:r>
          </w:p>
        </w:tc>
        <w:tc>
          <w:tcPr>
            <w:tcW w:w="1959" w:type="dxa"/>
            <w:vAlign w:val="center"/>
          </w:tcPr>
          <w:p>
            <w:pPr>
              <w:pStyle w:val="22"/>
              <w:rPr>
                <w:sz w:val="21"/>
                <w:szCs w:val="21"/>
              </w:rPr>
            </w:pPr>
            <w:r>
              <w:rPr>
                <w:rFonts w:hint="eastAsia"/>
                <w:sz w:val="21"/>
                <w:szCs w:val="21"/>
              </w:rPr>
              <w:t>林丽娜</w:t>
            </w:r>
            <w:r>
              <w:rPr>
                <w:sz w:val="21"/>
                <w:szCs w:val="21"/>
              </w:rPr>
              <w:t xml:space="preserve">  </w:t>
            </w:r>
            <w:r>
              <w:rPr>
                <w:rFonts w:hint="eastAsia"/>
                <w:sz w:val="21"/>
                <w:szCs w:val="21"/>
              </w:rPr>
              <w:t>林育芬</w:t>
            </w:r>
          </w:p>
        </w:tc>
        <w:tc>
          <w:tcPr>
            <w:tcW w:w="2441" w:type="dxa"/>
            <w:vAlign w:val="center"/>
          </w:tcPr>
          <w:p>
            <w:pPr>
              <w:pStyle w:val="22"/>
              <w:rPr>
                <w:sz w:val="21"/>
                <w:szCs w:val="21"/>
              </w:rPr>
            </w:pPr>
            <w:r>
              <w:rPr>
                <w:rFonts w:hint="eastAsia"/>
                <w:sz w:val="21"/>
                <w:szCs w:val="21"/>
              </w:rPr>
              <w:t>校本教材</w:t>
            </w:r>
            <w:r>
              <w:rPr>
                <w:sz w:val="21"/>
                <w:szCs w:val="21"/>
              </w:rPr>
              <w:t>2016</w:t>
            </w:r>
            <w:r>
              <w:rPr>
                <w:rFonts w:hint="eastAsia"/>
                <w:sz w:val="21"/>
                <w:szCs w:val="21"/>
              </w:rPr>
              <w:t>年</w:t>
            </w:r>
            <w:r>
              <w:rPr>
                <w:sz w:val="21"/>
                <w:szCs w:val="21"/>
              </w:rPr>
              <w:t>7</w:t>
            </w:r>
            <w:r>
              <w:rPr>
                <w:rFonts w:hint="eastAsia"/>
                <w:sz w:val="21"/>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720" w:type="dxa"/>
            <w:vAlign w:val="center"/>
          </w:tcPr>
          <w:p>
            <w:pPr>
              <w:pStyle w:val="22"/>
              <w:rPr>
                <w:sz w:val="21"/>
                <w:szCs w:val="21"/>
              </w:rPr>
            </w:pPr>
            <w:r>
              <w:rPr>
                <w:sz w:val="21"/>
                <w:szCs w:val="21"/>
              </w:rPr>
              <w:t>3</w:t>
            </w:r>
          </w:p>
        </w:tc>
        <w:tc>
          <w:tcPr>
            <w:tcW w:w="3038" w:type="dxa"/>
            <w:vAlign w:val="center"/>
          </w:tcPr>
          <w:p>
            <w:pPr>
              <w:pStyle w:val="22"/>
              <w:rPr>
                <w:sz w:val="21"/>
                <w:szCs w:val="21"/>
              </w:rPr>
            </w:pPr>
            <w:r>
              <w:rPr>
                <w:rFonts w:hint="eastAsia"/>
                <w:sz w:val="21"/>
                <w:szCs w:val="21"/>
              </w:rPr>
              <w:t>《财务会计（第二版）》</w:t>
            </w:r>
          </w:p>
        </w:tc>
        <w:tc>
          <w:tcPr>
            <w:tcW w:w="1843" w:type="dxa"/>
            <w:vAlign w:val="center"/>
          </w:tcPr>
          <w:p>
            <w:pPr>
              <w:pStyle w:val="22"/>
              <w:rPr>
                <w:sz w:val="21"/>
                <w:szCs w:val="21"/>
              </w:rPr>
            </w:pPr>
            <w:r>
              <w:rPr>
                <w:rFonts w:hint="eastAsia"/>
                <w:sz w:val="21"/>
                <w:szCs w:val="21"/>
              </w:rPr>
              <w:t>科学出版社</w:t>
            </w:r>
          </w:p>
        </w:tc>
        <w:tc>
          <w:tcPr>
            <w:tcW w:w="1959" w:type="dxa"/>
            <w:vAlign w:val="center"/>
          </w:tcPr>
          <w:p>
            <w:pPr>
              <w:pStyle w:val="22"/>
              <w:rPr>
                <w:sz w:val="21"/>
                <w:szCs w:val="21"/>
              </w:rPr>
            </w:pPr>
            <w:r>
              <w:rPr>
                <w:rFonts w:hint="eastAsia"/>
                <w:sz w:val="21"/>
                <w:szCs w:val="21"/>
              </w:rPr>
              <w:t>罗绍明</w:t>
            </w:r>
            <w:r>
              <w:rPr>
                <w:sz w:val="21"/>
                <w:szCs w:val="21"/>
              </w:rPr>
              <w:t>/</w:t>
            </w:r>
            <w:r>
              <w:rPr>
                <w:rFonts w:hint="eastAsia"/>
                <w:sz w:val="21"/>
                <w:szCs w:val="21"/>
              </w:rPr>
              <w:t>林伟生</w:t>
            </w:r>
          </w:p>
        </w:tc>
        <w:tc>
          <w:tcPr>
            <w:tcW w:w="2441" w:type="dxa"/>
            <w:vAlign w:val="center"/>
          </w:tcPr>
          <w:p>
            <w:pPr>
              <w:pStyle w:val="22"/>
              <w:rPr>
                <w:sz w:val="21"/>
                <w:szCs w:val="21"/>
              </w:rPr>
            </w:pPr>
            <w:r>
              <w:rPr>
                <w:rFonts w:hint="eastAsia"/>
                <w:sz w:val="21"/>
                <w:szCs w:val="21"/>
              </w:rPr>
              <w:t>公开出版</w:t>
            </w:r>
            <w:r>
              <w:rPr>
                <w:sz w:val="21"/>
                <w:szCs w:val="21"/>
              </w:rPr>
              <w:t xml:space="preserve"> 2016</w:t>
            </w:r>
            <w:r>
              <w:rPr>
                <w:rFonts w:hint="eastAsia"/>
                <w:sz w:val="21"/>
                <w:szCs w:val="21"/>
              </w:rPr>
              <w:t>年</w:t>
            </w:r>
            <w:r>
              <w:rPr>
                <w:sz w:val="21"/>
                <w:szCs w:val="21"/>
              </w:rPr>
              <w:t>7</w:t>
            </w:r>
            <w:r>
              <w:rPr>
                <w:rFonts w:hint="eastAsia"/>
                <w:sz w:val="21"/>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720" w:type="dxa"/>
            <w:vAlign w:val="center"/>
          </w:tcPr>
          <w:p>
            <w:pPr>
              <w:pStyle w:val="22"/>
              <w:rPr>
                <w:sz w:val="21"/>
                <w:szCs w:val="21"/>
              </w:rPr>
            </w:pPr>
            <w:r>
              <w:rPr>
                <w:sz w:val="21"/>
                <w:szCs w:val="21"/>
              </w:rPr>
              <w:t>4</w:t>
            </w:r>
          </w:p>
        </w:tc>
        <w:tc>
          <w:tcPr>
            <w:tcW w:w="3038" w:type="dxa"/>
            <w:vAlign w:val="center"/>
          </w:tcPr>
          <w:p>
            <w:pPr>
              <w:pStyle w:val="22"/>
              <w:rPr>
                <w:sz w:val="21"/>
                <w:szCs w:val="21"/>
              </w:rPr>
            </w:pPr>
            <w:r>
              <w:rPr>
                <w:rFonts w:hint="eastAsia"/>
                <w:sz w:val="21"/>
                <w:szCs w:val="21"/>
              </w:rPr>
              <w:t>《会计电算化（基础模块）》</w:t>
            </w:r>
          </w:p>
        </w:tc>
        <w:tc>
          <w:tcPr>
            <w:tcW w:w="1843" w:type="dxa"/>
            <w:vAlign w:val="center"/>
          </w:tcPr>
          <w:p>
            <w:pPr>
              <w:pStyle w:val="22"/>
              <w:rPr>
                <w:sz w:val="21"/>
                <w:szCs w:val="21"/>
              </w:rPr>
            </w:pPr>
          </w:p>
        </w:tc>
        <w:tc>
          <w:tcPr>
            <w:tcW w:w="1959" w:type="dxa"/>
            <w:vAlign w:val="center"/>
          </w:tcPr>
          <w:p>
            <w:pPr>
              <w:pStyle w:val="22"/>
              <w:rPr>
                <w:sz w:val="21"/>
                <w:szCs w:val="21"/>
              </w:rPr>
            </w:pPr>
            <w:r>
              <w:rPr>
                <w:rFonts w:hint="eastAsia"/>
                <w:sz w:val="21"/>
                <w:szCs w:val="21"/>
              </w:rPr>
              <w:t>卢文升</w:t>
            </w:r>
            <w:r>
              <w:rPr>
                <w:sz w:val="21"/>
                <w:szCs w:val="21"/>
              </w:rPr>
              <w:t>/</w:t>
            </w:r>
            <w:r>
              <w:rPr>
                <w:rFonts w:hint="eastAsia"/>
                <w:sz w:val="21"/>
                <w:szCs w:val="21"/>
              </w:rPr>
              <w:t>林伟生</w:t>
            </w:r>
            <w:r>
              <w:rPr>
                <w:sz w:val="21"/>
                <w:szCs w:val="21"/>
              </w:rPr>
              <w:t xml:space="preserve">  </w:t>
            </w:r>
            <w:r>
              <w:rPr>
                <w:rFonts w:hint="eastAsia"/>
                <w:sz w:val="21"/>
                <w:szCs w:val="21"/>
              </w:rPr>
              <w:t>刘洁纯</w:t>
            </w:r>
            <w:r>
              <w:rPr>
                <w:sz w:val="21"/>
                <w:szCs w:val="21"/>
              </w:rPr>
              <w:t>/</w:t>
            </w:r>
            <w:r>
              <w:rPr>
                <w:rFonts w:hint="eastAsia"/>
                <w:sz w:val="21"/>
                <w:szCs w:val="21"/>
              </w:rPr>
              <w:t>吴小红</w:t>
            </w:r>
          </w:p>
        </w:tc>
        <w:tc>
          <w:tcPr>
            <w:tcW w:w="2441" w:type="dxa"/>
            <w:vAlign w:val="center"/>
          </w:tcPr>
          <w:p>
            <w:pPr>
              <w:pStyle w:val="22"/>
              <w:rPr>
                <w:sz w:val="21"/>
                <w:szCs w:val="21"/>
              </w:rPr>
            </w:pPr>
            <w:r>
              <w:rPr>
                <w:rFonts w:hint="eastAsia"/>
                <w:sz w:val="21"/>
                <w:szCs w:val="21"/>
              </w:rPr>
              <w:t>校本教材</w:t>
            </w:r>
            <w:r>
              <w:rPr>
                <w:sz w:val="21"/>
                <w:szCs w:val="21"/>
              </w:rPr>
              <w:t>2016</w:t>
            </w:r>
            <w:r>
              <w:rPr>
                <w:rFonts w:hint="eastAsia"/>
                <w:sz w:val="21"/>
                <w:szCs w:val="21"/>
              </w:rPr>
              <w:t>年</w:t>
            </w:r>
            <w:r>
              <w:rPr>
                <w:sz w:val="21"/>
                <w:szCs w:val="21"/>
              </w:rPr>
              <w:t>6</w:t>
            </w:r>
            <w:r>
              <w:rPr>
                <w:rFonts w:hint="eastAsia"/>
                <w:sz w:val="21"/>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20" w:type="dxa"/>
            <w:vAlign w:val="center"/>
          </w:tcPr>
          <w:p>
            <w:pPr>
              <w:pStyle w:val="22"/>
              <w:rPr>
                <w:sz w:val="21"/>
                <w:szCs w:val="21"/>
              </w:rPr>
            </w:pPr>
            <w:r>
              <w:rPr>
                <w:sz w:val="21"/>
                <w:szCs w:val="21"/>
              </w:rPr>
              <w:t>5</w:t>
            </w:r>
          </w:p>
        </w:tc>
        <w:tc>
          <w:tcPr>
            <w:tcW w:w="3038" w:type="dxa"/>
            <w:vAlign w:val="center"/>
          </w:tcPr>
          <w:p>
            <w:pPr>
              <w:pStyle w:val="22"/>
              <w:rPr>
                <w:sz w:val="21"/>
                <w:szCs w:val="21"/>
              </w:rPr>
            </w:pPr>
            <w:r>
              <w:rPr>
                <w:rFonts w:hint="eastAsia"/>
                <w:sz w:val="21"/>
                <w:szCs w:val="21"/>
              </w:rPr>
              <w:t>《会计电算化（畅捷通</w:t>
            </w:r>
            <w:r>
              <w:rPr>
                <w:sz w:val="21"/>
                <w:szCs w:val="21"/>
              </w:rPr>
              <w:t>T3—</w:t>
            </w:r>
            <w:r>
              <w:rPr>
                <w:rFonts w:hint="eastAsia"/>
                <w:sz w:val="21"/>
                <w:szCs w:val="21"/>
              </w:rPr>
              <w:t>购销存模块）》</w:t>
            </w:r>
          </w:p>
        </w:tc>
        <w:tc>
          <w:tcPr>
            <w:tcW w:w="1843" w:type="dxa"/>
            <w:vAlign w:val="center"/>
          </w:tcPr>
          <w:p>
            <w:pPr>
              <w:pStyle w:val="22"/>
              <w:rPr>
                <w:sz w:val="21"/>
                <w:szCs w:val="21"/>
              </w:rPr>
            </w:pPr>
          </w:p>
        </w:tc>
        <w:tc>
          <w:tcPr>
            <w:tcW w:w="1959" w:type="dxa"/>
            <w:vAlign w:val="center"/>
          </w:tcPr>
          <w:p>
            <w:pPr>
              <w:pStyle w:val="22"/>
              <w:rPr>
                <w:sz w:val="21"/>
                <w:szCs w:val="21"/>
              </w:rPr>
            </w:pPr>
            <w:r>
              <w:rPr>
                <w:rFonts w:hint="eastAsia"/>
                <w:sz w:val="21"/>
                <w:szCs w:val="21"/>
              </w:rPr>
              <w:t>卢文升</w:t>
            </w:r>
            <w:r>
              <w:rPr>
                <w:sz w:val="21"/>
                <w:szCs w:val="21"/>
              </w:rPr>
              <w:t>/</w:t>
            </w:r>
            <w:r>
              <w:rPr>
                <w:rFonts w:hint="eastAsia"/>
                <w:sz w:val="21"/>
                <w:szCs w:val="21"/>
              </w:rPr>
              <w:t>林伟生</w:t>
            </w:r>
            <w:r>
              <w:rPr>
                <w:sz w:val="21"/>
                <w:szCs w:val="21"/>
              </w:rPr>
              <w:t xml:space="preserve">  </w:t>
            </w:r>
            <w:r>
              <w:rPr>
                <w:rFonts w:hint="eastAsia"/>
                <w:sz w:val="21"/>
                <w:szCs w:val="21"/>
              </w:rPr>
              <w:t>刘洁纯</w:t>
            </w:r>
            <w:r>
              <w:rPr>
                <w:sz w:val="21"/>
                <w:szCs w:val="21"/>
              </w:rPr>
              <w:t>/</w:t>
            </w:r>
            <w:r>
              <w:rPr>
                <w:rFonts w:hint="eastAsia"/>
                <w:sz w:val="21"/>
                <w:szCs w:val="21"/>
              </w:rPr>
              <w:t>吴小红</w:t>
            </w:r>
          </w:p>
        </w:tc>
        <w:tc>
          <w:tcPr>
            <w:tcW w:w="2441" w:type="dxa"/>
            <w:vAlign w:val="center"/>
          </w:tcPr>
          <w:p>
            <w:pPr>
              <w:pStyle w:val="22"/>
              <w:rPr>
                <w:sz w:val="21"/>
                <w:szCs w:val="21"/>
              </w:rPr>
            </w:pPr>
            <w:r>
              <w:rPr>
                <w:rFonts w:hint="eastAsia"/>
                <w:sz w:val="21"/>
                <w:szCs w:val="21"/>
              </w:rPr>
              <w:t>校本教材</w:t>
            </w:r>
            <w:r>
              <w:rPr>
                <w:sz w:val="21"/>
                <w:szCs w:val="21"/>
              </w:rPr>
              <w:t>2016</w:t>
            </w:r>
            <w:r>
              <w:rPr>
                <w:rFonts w:hint="eastAsia"/>
                <w:sz w:val="21"/>
                <w:szCs w:val="21"/>
              </w:rPr>
              <w:t>年</w:t>
            </w:r>
            <w:r>
              <w:rPr>
                <w:sz w:val="21"/>
                <w:szCs w:val="21"/>
              </w:rPr>
              <w:t>6</w:t>
            </w:r>
            <w:r>
              <w:rPr>
                <w:rFonts w:hint="eastAsia"/>
                <w:sz w:val="21"/>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20" w:type="dxa"/>
            <w:vAlign w:val="center"/>
          </w:tcPr>
          <w:p>
            <w:pPr>
              <w:pStyle w:val="22"/>
              <w:rPr>
                <w:sz w:val="21"/>
                <w:szCs w:val="21"/>
              </w:rPr>
            </w:pPr>
            <w:r>
              <w:rPr>
                <w:rFonts w:hint="eastAsia"/>
                <w:sz w:val="21"/>
                <w:szCs w:val="21"/>
              </w:rPr>
              <w:t>6</w:t>
            </w:r>
          </w:p>
        </w:tc>
        <w:tc>
          <w:tcPr>
            <w:tcW w:w="3038" w:type="dxa"/>
            <w:vAlign w:val="center"/>
          </w:tcPr>
          <w:p>
            <w:pPr>
              <w:pStyle w:val="22"/>
              <w:rPr>
                <w:sz w:val="21"/>
                <w:szCs w:val="21"/>
              </w:rPr>
            </w:pPr>
            <w:r>
              <w:t>《电子线路</w:t>
            </w:r>
            <w:r>
              <w:rPr>
                <w:rFonts w:hint="eastAsia"/>
              </w:rPr>
              <w:t>CAD</w:t>
            </w:r>
            <w:r>
              <w:t>》</w:t>
            </w:r>
          </w:p>
        </w:tc>
        <w:tc>
          <w:tcPr>
            <w:tcW w:w="1843" w:type="dxa"/>
            <w:vAlign w:val="center"/>
          </w:tcPr>
          <w:p>
            <w:pPr>
              <w:pStyle w:val="22"/>
              <w:rPr>
                <w:sz w:val="21"/>
                <w:szCs w:val="21"/>
              </w:rPr>
            </w:pPr>
            <w:r>
              <w:rPr>
                <w:rFonts w:hint="eastAsia"/>
              </w:rPr>
              <w:t>高等教育出版社</w:t>
            </w:r>
          </w:p>
        </w:tc>
        <w:tc>
          <w:tcPr>
            <w:tcW w:w="1959" w:type="dxa"/>
            <w:vAlign w:val="center"/>
          </w:tcPr>
          <w:p>
            <w:pPr>
              <w:pStyle w:val="22"/>
              <w:rPr>
                <w:sz w:val="21"/>
                <w:szCs w:val="21"/>
              </w:rPr>
            </w:pPr>
            <w:r>
              <w:rPr>
                <w:rFonts w:hint="eastAsia"/>
              </w:rPr>
              <w:t>陈芸</w:t>
            </w:r>
            <w:r>
              <w:rPr>
                <w:sz w:val="21"/>
                <w:szCs w:val="21"/>
              </w:rPr>
              <w:t>/</w:t>
            </w:r>
            <w:r>
              <w:rPr>
                <w:rFonts w:hint="eastAsia"/>
                <w:sz w:val="21"/>
                <w:szCs w:val="21"/>
              </w:rPr>
              <w:t>卢文升</w:t>
            </w:r>
          </w:p>
        </w:tc>
        <w:tc>
          <w:tcPr>
            <w:tcW w:w="2441" w:type="dxa"/>
            <w:vAlign w:val="center"/>
          </w:tcPr>
          <w:p>
            <w:pPr>
              <w:pStyle w:val="22"/>
              <w:rPr>
                <w:sz w:val="21"/>
                <w:szCs w:val="21"/>
              </w:rPr>
            </w:pPr>
            <w:r>
              <w:rPr>
                <w:rFonts w:hint="eastAsia"/>
                <w:sz w:val="21"/>
                <w:szCs w:val="21"/>
              </w:rPr>
              <w:t>公开出版2017年1月</w:t>
            </w:r>
          </w:p>
        </w:tc>
      </w:tr>
    </w:tbl>
    <w:p>
      <w:pPr>
        <w:pStyle w:val="10"/>
      </w:pPr>
      <w:bookmarkStart w:id="124" w:name="_Toc505003801"/>
      <w:bookmarkStart w:id="125" w:name="_Toc29995150"/>
      <w:r>
        <w:rPr>
          <w:rFonts w:hint="eastAsia"/>
          <w:sz w:val="28"/>
          <w:szCs w:val="28"/>
        </w:rPr>
        <w:t>3.2.3.3</w:t>
      </w:r>
      <w:r>
        <w:rPr>
          <w:rFonts w:hint="eastAsia"/>
        </w:rPr>
        <w:t>根椐产教融合的职教精神，产业与教学深度合作育人。</w:t>
      </w:r>
      <w:bookmarkEnd w:id="124"/>
      <w:bookmarkEnd w:id="125"/>
    </w:p>
    <w:p>
      <w:pPr>
        <w:spacing w:line="600" w:lineRule="exact"/>
        <w:ind w:firstLine="480"/>
      </w:pPr>
      <w:r>
        <w:rPr>
          <w:rFonts w:hint="eastAsia"/>
        </w:rPr>
        <w:t>开展“能工巧匠进校园</w:t>
      </w:r>
      <w:r>
        <w:t>”</w:t>
      </w:r>
      <w:r>
        <w:rPr>
          <w:rFonts w:hint="eastAsia"/>
        </w:rPr>
        <w:t>活动，本学期学校陆续聘请东湖大酒店、榕江大酒店、揭阳宾馆等各大酒店的厨师长到校为烹饪专业学生授课。（共8场）</w:t>
      </w:r>
    </w:p>
    <w:tbl>
      <w:tblPr>
        <w:tblStyle w:val="14"/>
        <w:tblW w:w="0" w:type="auto"/>
        <w:jc w:val="center"/>
        <w:tblLayout w:type="fixed"/>
        <w:tblCellMar>
          <w:top w:w="15" w:type="dxa"/>
          <w:left w:w="15" w:type="dxa"/>
          <w:bottom w:w="15" w:type="dxa"/>
          <w:right w:w="15" w:type="dxa"/>
        </w:tblCellMar>
      </w:tblPr>
      <w:tblGrid>
        <w:gridCol w:w="1125"/>
        <w:gridCol w:w="1530"/>
        <w:gridCol w:w="735"/>
        <w:gridCol w:w="1182"/>
        <w:gridCol w:w="1455"/>
        <w:gridCol w:w="1455"/>
        <w:gridCol w:w="1335"/>
        <w:gridCol w:w="1155"/>
      </w:tblGrid>
      <w:tr>
        <w:tblPrEx>
          <w:tblCellMar>
            <w:top w:w="15" w:type="dxa"/>
            <w:left w:w="15" w:type="dxa"/>
            <w:bottom w:w="15" w:type="dxa"/>
            <w:right w:w="15" w:type="dxa"/>
          </w:tblCellMar>
        </w:tblPrEx>
        <w:trPr>
          <w:trHeight w:val="870" w:hRule="atLeast"/>
          <w:jc w:val="center"/>
        </w:trPr>
        <w:tc>
          <w:tcPr>
            <w:tcW w:w="9972" w:type="dxa"/>
            <w:gridSpan w:val="8"/>
            <w:vAlign w:val="center"/>
          </w:tcPr>
          <w:p>
            <w:pPr>
              <w:widowControl/>
              <w:ind w:firstLine="562"/>
              <w:jc w:val="center"/>
              <w:textAlignment w:val="center"/>
              <w:rPr>
                <w:rFonts w:ascii="宋体" w:hAnsi="宋体" w:cs="宋体"/>
                <w:b/>
                <w:sz w:val="28"/>
                <w:szCs w:val="28"/>
              </w:rPr>
            </w:pPr>
            <w:r>
              <w:rPr>
                <w:rFonts w:hint="eastAsia" w:ascii="宋体" w:hAnsi="宋体" w:cs="宋体"/>
                <w:b/>
                <w:kern w:val="0"/>
                <w:sz w:val="28"/>
                <w:szCs w:val="28"/>
                <w:lang w:bidi="ar"/>
              </w:rPr>
              <w:t>揭阳捷和职业技术学校厨师班聘请企业厨师授课（实操）安排表</w:t>
            </w:r>
          </w:p>
        </w:tc>
      </w:tr>
      <w:tr>
        <w:tblPrEx>
          <w:tblCellMar>
            <w:top w:w="15" w:type="dxa"/>
            <w:left w:w="15" w:type="dxa"/>
            <w:bottom w:w="15" w:type="dxa"/>
            <w:right w:w="15" w:type="dxa"/>
          </w:tblCellMar>
        </w:tblPrEx>
        <w:trPr>
          <w:trHeight w:val="60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pPr>
            <w:r>
              <w:rPr>
                <w:rFonts w:hint="eastAsia"/>
                <w:kern w:val="0"/>
                <w:lang w:bidi="ar"/>
              </w:rPr>
              <w:t>日期</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pPr>
            <w:r>
              <w:rPr>
                <w:rFonts w:hint="eastAsia"/>
                <w:kern w:val="0"/>
                <w:lang w:bidi="ar"/>
              </w:rPr>
              <w:t>时长</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pPr>
            <w:r>
              <w:rPr>
                <w:rFonts w:hint="eastAsia"/>
                <w:kern w:val="0"/>
                <w:lang w:bidi="ar"/>
              </w:rPr>
              <w:t>班级</w:t>
            </w:r>
          </w:p>
        </w:tc>
        <w:tc>
          <w:tcPr>
            <w:tcW w:w="11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pPr>
            <w:r>
              <w:rPr>
                <w:rFonts w:hint="eastAsia"/>
                <w:kern w:val="0"/>
                <w:lang w:bidi="ar"/>
              </w:rPr>
              <w:t>科目</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pPr>
            <w:r>
              <w:rPr>
                <w:rFonts w:hint="eastAsia"/>
                <w:kern w:val="0"/>
                <w:lang w:bidi="ar"/>
              </w:rPr>
              <w:t>实操课程</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pPr>
            <w:r>
              <w:rPr>
                <w:rFonts w:hint="eastAsia"/>
                <w:kern w:val="0"/>
                <w:lang w:bidi="ar"/>
              </w:rPr>
              <w:t>企业单位</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pPr>
            <w:r>
              <w:rPr>
                <w:rFonts w:hint="eastAsia"/>
                <w:kern w:val="0"/>
                <w:lang w:bidi="ar"/>
              </w:rPr>
              <w:t>授课厨师</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2"/>
            </w:pPr>
            <w:r>
              <w:rPr>
                <w:rFonts w:hint="eastAsia"/>
                <w:kern w:val="0"/>
                <w:lang w:bidi="ar"/>
              </w:rPr>
              <w:t>职务</w:t>
            </w:r>
          </w:p>
        </w:tc>
      </w:tr>
      <w:tr>
        <w:tblPrEx>
          <w:tblCellMar>
            <w:top w:w="15" w:type="dxa"/>
            <w:left w:w="15" w:type="dxa"/>
            <w:bottom w:w="15" w:type="dxa"/>
            <w:right w:w="15" w:type="dxa"/>
          </w:tblCellMar>
        </w:tblPrEx>
        <w:trPr>
          <w:trHeight w:val="600" w:hRule="atLeast"/>
          <w:jc w:val="center"/>
        </w:trPr>
        <w:tc>
          <w:tcPr>
            <w:tcW w:w="112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11月2日</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14:30-16:00</w:t>
            </w:r>
          </w:p>
        </w:tc>
        <w:tc>
          <w:tcPr>
            <w:tcW w:w="73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15</w:t>
            </w:r>
          </w:p>
        </w:tc>
        <w:tc>
          <w:tcPr>
            <w:tcW w:w="1182"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潮菜工艺</w:t>
            </w:r>
          </w:p>
        </w:tc>
        <w:tc>
          <w:tcPr>
            <w:tcW w:w="145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护国菜</w:t>
            </w:r>
          </w:p>
        </w:tc>
        <w:tc>
          <w:tcPr>
            <w:tcW w:w="145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东湖大酒店</w:t>
            </w:r>
          </w:p>
        </w:tc>
        <w:tc>
          <w:tcPr>
            <w:tcW w:w="133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蔡启辉</w:t>
            </w:r>
          </w:p>
        </w:tc>
        <w:tc>
          <w:tcPr>
            <w:tcW w:w="115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行政总厨</w:t>
            </w:r>
          </w:p>
        </w:tc>
      </w:tr>
      <w:tr>
        <w:tblPrEx>
          <w:tblCellMar>
            <w:top w:w="15" w:type="dxa"/>
            <w:left w:w="15" w:type="dxa"/>
            <w:bottom w:w="15" w:type="dxa"/>
            <w:right w:w="15" w:type="dxa"/>
          </w:tblCellMar>
        </w:tblPrEx>
        <w:trPr>
          <w:trHeight w:val="600" w:hRule="atLeast"/>
          <w:jc w:val="center"/>
        </w:trPr>
        <w:tc>
          <w:tcPr>
            <w:tcW w:w="112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11月16日</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14:30-16:00</w:t>
            </w:r>
          </w:p>
        </w:tc>
        <w:tc>
          <w:tcPr>
            <w:tcW w:w="73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15</w:t>
            </w:r>
          </w:p>
        </w:tc>
        <w:tc>
          <w:tcPr>
            <w:tcW w:w="1182"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潮菜工艺</w:t>
            </w:r>
          </w:p>
        </w:tc>
        <w:tc>
          <w:tcPr>
            <w:tcW w:w="145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炸粿肉</w:t>
            </w:r>
          </w:p>
        </w:tc>
        <w:tc>
          <w:tcPr>
            <w:tcW w:w="145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榕江大酒店</w:t>
            </w:r>
          </w:p>
        </w:tc>
        <w:tc>
          <w:tcPr>
            <w:tcW w:w="133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陈展松</w:t>
            </w:r>
          </w:p>
        </w:tc>
        <w:tc>
          <w:tcPr>
            <w:tcW w:w="115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行政总厨</w:t>
            </w:r>
          </w:p>
        </w:tc>
      </w:tr>
      <w:tr>
        <w:tblPrEx>
          <w:tblCellMar>
            <w:top w:w="15" w:type="dxa"/>
            <w:left w:w="15" w:type="dxa"/>
            <w:bottom w:w="15" w:type="dxa"/>
            <w:right w:w="15" w:type="dxa"/>
          </w:tblCellMar>
        </w:tblPrEx>
        <w:trPr>
          <w:trHeight w:val="600" w:hRule="atLeast"/>
          <w:jc w:val="center"/>
        </w:trPr>
        <w:tc>
          <w:tcPr>
            <w:tcW w:w="112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11月30日</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14:30-16:00</w:t>
            </w:r>
          </w:p>
        </w:tc>
        <w:tc>
          <w:tcPr>
            <w:tcW w:w="73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15</w:t>
            </w:r>
          </w:p>
        </w:tc>
        <w:tc>
          <w:tcPr>
            <w:tcW w:w="1182"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潮菜工艺</w:t>
            </w:r>
          </w:p>
        </w:tc>
        <w:tc>
          <w:tcPr>
            <w:tcW w:w="145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油泡鲜鱿</w:t>
            </w:r>
          </w:p>
        </w:tc>
        <w:tc>
          <w:tcPr>
            <w:tcW w:w="145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揭阳宾馆</w:t>
            </w:r>
          </w:p>
        </w:tc>
        <w:tc>
          <w:tcPr>
            <w:tcW w:w="133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林光辉</w:t>
            </w:r>
          </w:p>
        </w:tc>
        <w:tc>
          <w:tcPr>
            <w:tcW w:w="115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行政总厨</w:t>
            </w:r>
          </w:p>
        </w:tc>
      </w:tr>
      <w:tr>
        <w:tblPrEx>
          <w:tblCellMar>
            <w:top w:w="15" w:type="dxa"/>
            <w:left w:w="15" w:type="dxa"/>
            <w:bottom w:w="15" w:type="dxa"/>
            <w:right w:w="15" w:type="dxa"/>
          </w:tblCellMar>
        </w:tblPrEx>
        <w:trPr>
          <w:trHeight w:val="600" w:hRule="atLeast"/>
          <w:jc w:val="center"/>
        </w:trPr>
        <w:tc>
          <w:tcPr>
            <w:tcW w:w="112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12月21日</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14:30-16:00</w:t>
            </w:r>
          </w:p>
        </w:tc>
        <w:tc>
          <w:tcPr>
            <w:tcW w:w="73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15</w:t>
            </w:r>
          </w:p>
        </w:tc>
        <w:tc>
          <w:tcPr>
            <w:tcW w:w="1182"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潮菜工艺</w:t>
            </w:r>
          </w:p>
        </w:tc>
        <w:tc>
          <w:tcPr>
            <w:tcW w:w="145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荷包白鳝</w:t>
            </w:r>
          </w:p>
        </w:tc>
        <w:tc>
          <w:tcPr>
            <w:tcW w:w="145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揭阳宾馆</w:t>
            </w:r>
          </w:p>
        </w:tc>
        <w:tc>
          <w:tcPr>
            <w:tcW w:w="133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林光辉</w:t>
            </w:r>
          </w:p>
        </w:tc>
        <w:tc>
          <w:tcPr>
            <w:tcW w:w="115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行政总厨</w:t>
            </w:r>
          </w:p>
        </w:tc>
      </w:tr>
      <w:tr>
        <w:tblPrEx>
          <w:tblCellMar>
            <w:top w:w="15" w:type="dxa"/>
            <w:left w:w="15" w:type="dxa"/>
            <w:bottom w:w="15" w:type="dxa"/>
            <w:right w:w="15" w:type="dxa"/>
          </w:tblCellMar>
        </w:tblPrEx>
        <w:trPr>
          <w:trHeight w:val="600" w:hRule="atLeast"/>
          <w:jc w:val="center"/>
        </w:trPr>
        <w:tc>
          <w:tcPr>
            <w:tcW w:w="112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11月9日</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9:00-10:50</w:t>
            </w:r>
          </w:p>
        </w:tc>
        <w:tc>
          <w:tcPr>
            <w:tcW w:w="73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16</w:t>
            </w:r>
          </w:p>
        </w:tc>
        <w:tc>
          <w:tcPr>
            <w:tcW w:w="1182"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潮菜工艺</w:t>
            </w:r>
          </w:p>
        </w:tc>
        <w:tc>
          <w:tcPr>
            <w:tcW w:w="145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护国菜</w:t>
            </w:r>
          </w:p>
        </w:tc>
        <w:tc>
          <w:tcPr>
            <w:tcW w:w="145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东湖大酒店</w:t>
            </w:r>
          </w:p>
        </w:tc>
        <w:tc>
          <w:tcPr>
            <w:tcW w:w="133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蔡启辉</w:t>
            </w:r>
          </w:p>
        </w:tc>
        <w:tc>
          <w:tcPr>
            <w:tcW w:w="115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行政总厨</w:t>
            </w:r>
          </w:p>
        </w:tc>
      </w:tr>
      <w:tr>
        <w:tblPrEx>
          <w:tblCellMar>
            <w:top w:w="15" w:type="dxa"/>
            <w:left w:w="15" w:type="dxa"/>
            <w:bottom w:w="15" w:type="dxa"/>
            <w:right w:w="15" w:type="dxa"/>
          </w:tblCellMar>
        </w:tblPrEx>
        <w:trPr>
          <w:trHeight w:val="600" w:hRule="atLeast"/>
          <w:jc w:val="center"/>
        </w:trPr>
        <w:tc>
          <w:tcPr>
            <w:tcW w:w="112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11月10日</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9:00-10:50</w:t>
            </w:r>
          </w:p>
        </w:tc>
        <w:tc>
          <w:tcPr>
            <w:tcW w:w="73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16</w:t>
            </w:r>
          </w:p>
        </w:tc>
        <w:tc>
          <w:tcPr>
            <w:tcW w:w="1182"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潮菜工艺</w:t>
            </w:r>
          </w:p>
        </w:tc>
        <w:tc>
          <w:tcPr>
            <w:tcW w:w="1455" w:type="dxa"/>
            <w:tcBorders>
              <w:top w:val="single" w:color="000000" w:sz="4" w:space="0"/>
              <w:left w:val="single" w:color="000000" w:sz="4" w:space="0"/>
              <w:right w:val="single" w:color="000000" w:sz="4" w:space="0"/>
            </w:tcBorders>
            <w:vAlign w:val="center"/>
          </w:tcPr>
          <w:p>
            <w:pPr>
              <w:pStyle w:val="22"/>
              <w:rPr>
                <w:sz w:val="20"/>
                <w:szCs w:val="20"/>
              </w:rPr>
            </w:pPr>
            <w:r>
              <w:rPr>
                <w:rFonts w:hint="eastAsia"/>
                <w:kern w:val="0"/>
                <w:sz w:val="20"/>
                <w:szCs w:val="20"/>
                <w:lang w:bidi="ar"/>
              </w:rPr>
              <w:t>护国菜</w:t>
            </w:r>
          </w:p>
        </w:tc>
        <w:tc>
          <w:tcPr>
            <w:tcW w:w="145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东湖大酒店</w:t>
            </w:r>
          </w:p>
        </w:tc>
        <w:tc>
          <w:tcPr>
            <w:tcW w:w="133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蔡启辉</w:t>
            </w:r>
          </w:p>
        </w:tc>
        <w:tc>
          <w:tcPr>
            <w:tcW w:w="115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行政总厨</w:t>
            </w:r>
          </w:p>
        </w:tc>
      </w:tr>
      <w:tr>
        <w:tblPrEx>
          <w:tblCellMar>
            <w:top w:w="15" w:type="dxa"/>
            <w:left w:w="15" w:type="dxa"/>
            <w:bottom w:w="15" w:type="dxa"/>
            <w:right w:w="15" w:type="dxa"/>
          </w:tblCellMar>
        </w:tblPrEx>
        <w:trPr>
          <w:trHeight w:val="600" w:hRule="atLeast"/>
          <w:jc w:val="center"/>
        </w:trPr>
        <w:tc>
          <w:tcPr>
            <w:tcW w:w="1125" w:type="dxa"/>
            <w:tcBorders>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11月23日</w:t>
            </w:r>
          </w:p>
        </w:tc>
        <w:tc>
          <w:tcPr>
            <w:tcW w:w="1530" w:type="dxa"/>
            <w:tcBorders>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9:00-10:50</w:t>
            </w:r>
          </w:p>
        </w:tc>
        <w:tc>
          <w:tcPr>
            <w:tcW w:w="735" w:type="dxa"/>
            <w:tcBorders>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16</w:t>
            </w:r>
          </w:p>
        </w:tc>
        <w:tc>
          <w:tcPr>
            <w:tcW w:w="1182" w:type="dxa"/>
            <w:tcBorders>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潮菜工艺</w:t>
            </w:r>
          </w:p>
        </w:tc>
        <w:tc>
          <w:tcPr>
            <w:tcW w:w="145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干炸虾枣</w:t>
            </w:r>
          </w:p>
        </w:tc>
        <w:tc>
          <w:tcPr>
            <w:tcW w:w="145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榕江大酒店</w:t>
            </w:r>
          </w:p>
        </w:tc>
        <w:tc>
          <w:tcPr>
            <w:tcW w:w="133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陈展松</w:t>
            </w:r>
          </w:p>
        </w:tc>
        <w:tc>
          <w:tcPr>
            <w:tcW w:w="115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行政总厨</w:t>
            </w:r>
          </w:p>
        </w:tc>
      </w:tr>
      <w:tr>
        <w:tblPrEx>
          <w:tblCellMar>
            <w:top w:w="15" w:type="dxa"/>
            <w:left w:w="15" w:type="dxa"/>
            <w:bottom w:w="15" w:type="dxa"/>
            <w:right w:w="15" w:type="dxa"/>
          </w:tblCellMar>
        </w:tblPrEx>
        <w:trPr>
          <w:trHeight w:val="600" w:hRule="atLeast"/>
          <w:jc w:val="center"/>
        </w:trPr>
        <w:tc>
          <w:tcPr>
            <w:tcW w:w="1125" w:type="dxa"/>
            <w:tcBorders>
              <w:top w:val="single" w:color="000000" w:sz="4" w:space="0"/>
              <w:left w:val="single" w:color="000000" w:sz="4" w:space="0"/>
              <w:bottom w:val="single" w:color="auto" w:sz="4" w:space="0"/>
              <w:right w:val="single" w:color="000000" w:sz="4" w:space="0"/>
            </w:tcBorders>
            <w:vAlign w:val="center"/>
          </w:tcPr>
          <w:p>
            <w:pPr>
              <w:pStyle w:val="22"/>
              <w:rPr>
                <w:sz w:val="20"/>
                <w:szCs w:val="20"/>
              </w:rPr>
            </w:pPr>
            <w:r>
              <w:rPr>
                <w:rFonts w:hint="eastAsia"/>
                <w:kern w:val="0"/>
                <w:sz w:val="20"/>
                <w:szCs w:val="20"/>
                <w:lang w:bidi="ar"/>
              </w:rPr>
              <w:t>11月24日</w:t>
            </w:r>
          </w:p>
        </w:tc>
        <w:tc>
          <w:tcPr>
            <w:tcW w:w="1530" w:type="dxa"/>
            <w:tcBorders>
              <w:top w:val="single" w:color="000000" w:sz="4" w:space="0"/>
              <w:left w:val="single" w:color="000000" w:sz="4" w:space="0"/>
              <w:bottom w:val="single" w:color="auto" w:sz="4" w:space="0"/>
              <w:right w:val="single" w:color="000000" w:sz="4" w:space="0"/>
            </w:tcBorders>
            <w:vAlign w:val="center"/>
          </w:tcPr>
          <w:p>
            <w:pPr>
              <w:pStyle w:val="22"/>
              <w:rPr>
                <w:sz w:val="20"/>
                <w:szCs w:val="20"/>
              </w:rPr>
            </w:pPr>
            <w:r>
              <w:rPr>
                <w:rFonts w:hint="eastAsia"/>
                <w:kern w:val="0"/>
                <w:sz w:val="20"/>
                <w:szCs w:val="20"/>
                <w:lang w:bidi="ar"/>
              </w:rPr>
              <w:t>9:00-10:50</w:t>
            </w:r>
          </w:p>
        </w:tc>
        <w:tc>
          <w:tcPr>
            <w:tcW w:w="735" w:type="dxa"/>
            <w:tcBorders>
              <w:top w:val="single" w:color="000000" w:sz="4" w:space="0"/>
              <w:left w:val="single" w:color="000000" w:sz="4" w:space="0"/>
              <w:bottom w:val="single" w:color="auto" w:sz="4" w:space="0"/>
              <w:right w:val="single" w:color="000000" w:sz="4" w:space="0"/>
            </w:tcBorders>
            <w:vAlign w:val="center"/>
          </w:tcPr>
          <w:p>
            <w:pPr>
              <w:pStyle w:val="22"/>
              <w:rPr>
                <w:sz w:val="20"/>
                <w:szCs w:val="20"/>
              </w:rPr>
            </w:pPr>
            <w:r>
              <w:rPr>
                <w:rFonts w:hint="eastAsia"/>
                <w:kern w:val="0"/>
                <w:sz w:val="20"/>
                <w:szCs w:val="20"/>
                <w:lang w:bidi="ar"/>
              </w:rPr>
              <w:t>16</w:t>
            </w:r>
          </w:p>
        </w:tc>
        <w:tc>
          <w:tcPr>
            <w:tcW w:w="1182" w:type="dxa"/>
            <w:tcBorders>
              <w:top w:val="single" w:color="000000" w:sz="4" w:space="0"/>
              <w:left w:val="single" w:color="000000" w:sz="4" w:space="0"/>
              <w:bottom w:val="single" w:color="auto" w:sz="4" w:space="0"/>
              <w:right w:val="single" w:color="000000" w:sz="4" w:space="0"/>
            </w:tcBorders>
            <w:vAlign w:val="center"/>
          </w:tcPr>
          <w:p>
            <w:pPr>
              <w:pStyle w:val="22"/>
              <w:rPr>
                <w:sz w:val="20"/>
                <w:szCs w:val="20"/>
              </w:rPr>
            </w:pPr>
            <w:r>
              <w:rPr>
                <w:rFonts w:hint="eastAsia"/>
                <w:kern w:val="0"/>
                <w:sz w:val="20"/>
                <w:szCs w:val="20"/>
                <w:lang w:bidi="ar"/>
              </w:rPr>
              <w:t>潮菜工艺</w:t>
            </w:r>
          </w:p>
        </w:tc>
        <w:tc>
          <w:tcPr>
            <w:tcW w:w="145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干炸虾枣</w:t>
            </w:r>
          </w:p>
        </w:tc>
        <w:tc>
          <w:tcPr>
            <w:tcW w:w="145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揭阳宾馆</w:t>
            </w:r>
          </w:p>
        </w:tc>
        <w:tc>
          <w:tcPr>
            <w:tcW w:w="133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林光辉</w:t>
            </w:r>
          </w:p>
        </w:tc>
        <w:tc>
          <w:tcPr>
            <w:tcW w:w="1155" w:type="dxa"/>
            <w:tcBorders>
              <w:top w:val="single" w:color="000000" w:sz="4" w:space="0"/>
              <w:left w:val="single" w:color="000000" w:sz="4" w:space="0"/>
              <w:bottom w:val="single" w:color="000000" w:sz="4" w:space="0"/>
              <w:right w:val="single" w:color="000000" w:sz="4" w:space="0"/>
            </w:tcBorders>
            <w:vAlign w:val="center"/>
          </w:tcPr>
          <w:p>
            <w:pPr>
              <w:pStyle w:val="22"/>
              <w:rPr>
                <w:sz w:val="20"/>
                <w:szCs w:val="20"/>
              </w:rPr>
            </w:pPr>
            <w:r>
              <w:rPr>
                <w:rFonts w:hint="eastAsia"/>
                <w:kern w:val="0"/>
                <w:sz w:val="20"/>
                <w:szCs w:val="20"/>
                <w:lang w:bidi="ar"/>
              </w:rPr>
              <w:t>行政总厨</w:t>
            </w:r>
          </w:p>
        </w:tc>
      </w:tr>
    </w:tbl>
    <w:p>
      <w:pPr>
        <w:pStyle w:val="10"/>
        <w:rPr>
          <w:color w:val="C0504D"/>
          <w:sz w:val="28"/>
          <w:szCs w:val="28"/>
        </w:rPr>
      </w:pPr>
    </w:p>
    <w:p>
      <w:pPr>
        <w:pStyle w:val="10"/>
      </w:pPr>
      <w:bookmarkStart w:id="126" w:name="_Toc29995151"/>
      <w:bookmarkStart w:id="127" w:name="_Toc505003802"/>
      <w:r>
        <w:rPr>
          <w:rFonts w:hint="eastAsia"/>
          <w:sz w:val="28"/>
          <w:szCs w:val="28"/>
        </w:rPr>
        <w:t>3.2.3.4</w:t>
      </w:r>
      <w:r>
        <w:rPr>
          <w:rFonts w:hint="eastAsia"/>
        </w:rPr>
        <w:t>进微课资源建设，提升教学信息化服务能力</w:t>
      </w:r>
      <w:bookmarkEnd w:id="123"/>
      <w:bookmarkEnd w:id="126"/>
      <w:bookmarkEnd w:id="127"/>
    </w:p>
    <w:p>
      <w:pPr>
        <w:adjustRightInd w:val="0"/>
        <w:snapToGrid w:val="0"/>
        <w:spacing w:before="120" w:beforeLines="50" w:after="120" w:afterLines="50"/>
        <w:ind w:firstLine="480"/>
        <w:rPr>
          <w:rFonts w:ascii="宋体" w:hAnsi="宋体"/>
        </w:rPr>
      </w:pPr>
      <w:r>
        <w:rPr>
          <w:rFonts w:hint="eastAsia" w:ascii="宋体" w:hAnsi="宋体"/>
        </w:rPr>
        <w:t>我校共开发了关于微课的专业课程共</w:t>
      </w:r>
      <w:r>
        <w:rPr>
          <w:rFonts w:ascii="宋体" w:hAnsi="宋体"/>
        </w:rPr>
        <w:t>13</w:t>
      </w:r>
      <w:r>
        <w:rPr>
          <w:rFonts w:hint="eastAsia" w:ascii="宋体" w:hAnsi="宋体"/>
        </w:rPr>
        <w:t>门，并且通过以赛促教的方式，推动教师在实际教学中对微课的应用。学校将加大对微课改革的投入，包括微课理论的引入，增加制作微课的设备等等，全面实现信息化教学改革。</w:t>
      </w:r>
    </w:p>
    <w:p>
      <w:pPr>
        <w:ind w:firstLine="480"/>
        <w:rPr>
          <w:rFonts w:hint="eastAsia" w:ascii="宋体" w:hAnsi="宋体"/>
        </w:rPr>
      </w:pPr>
      <w:r>
        <w:rPr>
          <w:rFonts w:hint="eastAsia" w:ascii="宋体" w:hAnsi="宋体"/>
        </w:rPr>
        <w:t>举办2018-2019学年度揭阳捷和职业技术学校微课比赛</w:t>
      </w:r>
    </w:p>
    <w:p>
      <w:pPr>
        <w:ind w:firstLine="480"/>
        <w:rPr>
          <w:rFonts w:hint="eastAsia" w:ascii="宋体" w:hAnsi="宋体"/>
        </w:rPr>
      </w:pPr>
      <w:r>
        <w:rPr>
          <w:rFonts w:hint="eastAsia" w:ascii="宋体" w:hAnsi="宋体"/>
        </w:rPr>
        <w:t>四个教学部共有9位教师参加比赛，评出一等奖2位，二等奖3位，三等奖4位。微课比赛活动促进了信息技术与教学的深度融合，提高了教育教学质量。</w:t>
      </w:r>
    </w:p>
    <w:tbl>
      <w:tblPr>
        <w:tblStyle w:val="14"/>
        <w:tblW w:w="0" w:type="auto"/>
        <w:tblInd w:w="392" w:type="dxa"/>
        <w:tblLayout w:type="fixed"/>
        <w:tblCellMar>
          <w:top w:w="0" w:type="dxa"/>
          <w:left w:w="108" w:type="dxa"/>
          <w:bottom w:w="0" w:type="dxa"/>
          <w:right w:w="108" w:type="dxa"/>
        </w:tblCellMar>
      </w:tblPr>
      <w:tblGrid>
        <w:gridCol w:w="1131"/>
        <w:gridCol w:w="1413"/>
        <w:gridCol w:w="1555"/>
        <w:gridCol w:w="2827"/>
        <w:gridCol w:w="1978"/>
      </w:tblGrid>
      <w:tr>
        <w:tblPrEx>
          <w:tblCellMar>
            <w:top w:w="0" w:type="dxa"/>
            <w:left w:w="108" w:type="dxa"/>
            <w:bottom w:w="0" w:type="dxa"/>
            <w:right w:w="108" w:type="dxa"/>
          </w:tblCellMar>
        </w:tblPrEx>
        <w:trPr>
          <w:trHeight w:val="880" w:hRule="atLeast"/>
        </w:trPr>
        <w:tc>
          <w:tcPr>
            <w:tcW w:w="8904" w:type="dxa"/>
            <w:gridSpan w:val="5"/>
            <w:tcBorders>
              <w:top w:val="nil"/>
              <w:left w:val="nil"/>
              <w:bottom w:val="single" w:color="auto" w:sz="4" w:space="0"/>
              <w:right w:val="nil"/>
            </w:tcBorders>
            <w:vAlign w:val="center"/>
          </w:tcPr>
          <w:p>
            <w:pPr>
              <w:ind w:firstLine="482"/>
              <w:rPr>
                <w:rFonts w:hint="eastAsia" w:ascii="宋体" w:hAnsi="宋体"/>
                <w:b/>
              </w:rPr>
            </w:pPr>
            <w:r>
              <w:rPr>
                <w:rFonts w:hint="eastAsia" w:ascii="宋体" w:hAnsi="宋体"/>
                <w:b/>
              </w:rPr>
              <w:t>2018-2019学年度揭阳捷和职业技术学校微课比赛一览表</w:t>
            </w:r>
          </w:p>
        </w:tc>
      </w:tr>
      <w:tr>
        <w:tblPrEx>
          <w:tblCellMar>
            <w:top w:w="0" w:type="dxa"/>
            <w:left w:w="108" w:type="dxa"/>
            <w:bottom w:w="0" w:type="dxa"/>
            <w:right w:w="108" w:type="dxa"/>
          </w:tblCellMar>
        </w:tblPrEx>
        <w:trPr>
          <w:trHeight w:val="340" w:hRule="atLeast"/>
        </w:trPr>
        <w:tc>
          <w:tcPr>
            <w:tcW w:w="1131" w:type="dxa"/>
            <w:tcBorders>
              <w:top w:val="nil"/>
              <w:left w:val="single" w:color="auto" w:sz="4" w:space="0"/>
              <w:bottom w:val="single" w:color="auto" w:sz="4" w:space="0"/>
              <w:right w:val="single" w:color="auto" w:sz="4" w:space="0"/>
            </w:tcBorders>
            <w:vAlign w:val="center"/>
          </w:tcPr>
          <w:p>
            <w:pPr>
              <w:ind w:firstLine="241" w:firstLineChars="100"/>
              <w:rPr>
                <w:rFonts w:hint="eastAsia" w:ascii="宋体" w:hAnsi="宋体"/>
                <w:b/>
              </w:rPr>
            </w:pPr>
            <w:r>
              <w:rPr>
                <w:rFonts w:hint="eastAsia" w:ascii="宋体" w:hAnsi="宋体"/>
                <w:b/>
              </w:rPr>
              <w:t>序号</w:t>
            </w:r>
          </w:p>
        </w:tc>
        <w:tc>
          <w:tcPr>
            <w:tcW w:w="1413" w:type="dxa"/>
            <w:tcBorders>
              <w:top w:val="nil"/>
              <w:left w:val="nil"/>
              <w:bottom w:val="single" w:color="auto" w:sz="4" w:space="0"/>
              <w:right w:val="single" w:color="auto" w:sz="4" w:space="0"/>
            </w:tcBorders>
            <w:vAlign w:val="center"/>
          </w:tcPr>
          <w:p>
            <w:pPr>
              <w:ind w:firstLine="0" w:firstLineChars="0"/>
              <w:rPr>
                <w:rFonts w:hint="eastAsia" w:ascii="宋体" w:hAnsi="宋体"/>
                <w:b/>
              </w:rPr>
            </w:pPr>
            <w:r>
              <w:rPr>
                <w:rFonts w:hint="eastAsia" w:ascii="宋体" w:hAnsi="宋体"/>
                <w:b/>
              </w:rPr>
              <w:t>教师姓名</w:t>
            </w:r>
          </w:p>
        </w:tc>
        <w:tc>
          <w:tcPr>
            <w:tcW w:w="1555" w:type="dxa"/>
            <w:tcBorders>
              <w:top w:val="nil"/>
              <w:left w:val="nil"/>
              <w:bottom w:val="single" w:color="auto" w:sz="4" w:space="0"/>
              <w:right w:val="single" w:color="auto" w:sz="4" w:space="0"/>
            </w:tcBorders>
            <w:vAlign w:val="center"/>
          </w:tcPr>
          <w:p>
            <w:pPr>
              <w:ind w:firstLine="241" w:firstLineChars="100"/>
              <w:rPr>
                <w:rFonts w:hint="eastAsia" w:ascii="宋体" w:hAnsi="宋体"/>
                <w:b/>
              </w:rPr>
            </w:pPr>
            <w:r>
              <w:rPr>
                <w:rFonts w:hint="eastAsia" w:ascii="宋体" w:hAnsi="宋体"/>
                <w:b/>
              </w:rPr>
              <w:t>专业部</w:t>
            </w:r>
          </w:p>
        </w:tc>
        <w:tc>
          <w:tcPr>
            <w:tcW w:w="2827" w:type="dxa"/>
            <w:tcBorders>
              <w:top w:val="nil"/>
              <w:left w:val="nil"/>
              <w:bottom w:val="single" w:color="auto" w:sz="4" w:space="0"/>
              <w:right w:val="single" w:color="auto" w:sz="4" w:space="0"/>
            </w:tcBorders>
            <w:vAlign w:val="center"/>
          </w:tcPr>
          <w:p>
            <w:pPr>
              <w:ind w:firstLine="723" w:firstLineChars="300"/>
              <w:rPr>
                <w:rFonts w:hint="eastAsia" w:ascii="宋体" w:hAnsi="宋体"/>
                <w:b/>
              </w:rPr>
            </w:pPr>
            <w:r>
              <w:rPr>
                <w:rFonts w:hint="eastAsia" w:ascii="宋体" w:hAnsi="宋体"/>
                <w:b/>
              </w:rPr>
              <w:t>微课课题</w:t>
            </w:r>
          </w:p>
        </w:tc>
        <w:tc>
          <w:tcPr>
            <w:tcW w:w="1978" w:type="dxa"/>
            <w:tcBorders>
              <w:top w:val="nil"/>
              <w:left w:val="nil"/>
              <w:bottom w:val="single" w:color="auto" w:sz="4" w:space="0"/>
              <w:right w:val="single" w:color="auto" w:sz="4" w:space="0"/>
            </w:tcBorders>
            <w:noWrap/>
            <w:vAlign w:val="center"/>
          </w:tcPr>
          <w:p>
            <w:pPr>
              <w:ind w:firstLine="482"/>
              <w:rPr>
                <w:rFonts w:hint="eastAsia" w:ascii="宋体" w:hAnsi="宋体"/>
                <w:b/>
              </w:rPr>
            </w:pPr>
            <w:r>
              <w:rPr>
                <w:rFonts w:hint="eastAsia" w:ascii="宋体" w:hAnsi="宋体"/>
                <w:b/>
              </w:rPr>
              <w:t>名次</w:t>
            </w:r>
          </w:p>
        </w:tc>
      </w:tr>
      <w:tr>
        <w:tblPrEx>
          <w:tblCellMar>
            <w:top w:w="0" w:type="dxa"/>
            <w:left w:w="108" w:type="dxa"/>
            <w:bottom w:w="0" w:type="dxa"/>
            <w:right w:w="108" w:type="dxa"/>
          </w:tblCellMar>
        </w:tblPrEx>
        <w:trPr>
          <w:trHeight w:val="340" w:hRule="atLeast"/>
        </w:trPr>
        <w:tc>
          <w:tcPr>
            <w:tcW w:w="1131" w:type="dxa"/>
            <w:tcBorders>
              <w:top w:val="nil"/>
              <w:left w:val="single" w:color="auto" w:sz="4" w:space="0"/>
              <w:bottom w:val="single" w:color="auto" w:sz="4" w:space="0"/>
              <w:right w:val="single" w:color="auto" w:sz="4" w:space="0"/>
            </w:tcBorders>
            <w:noWrap/>
            <w:vAlign w:val="center"/>
          </w:tcPr>
          <w:p>
            <w:pPr>
              <w:ind w:firstLine="480"/>
              <w:jc w:val="center"/>
              <w:rPr>
                <w:rFonts w:hint="eastAsia" w:ascii="宋体" w:hAnsi="宋体"/>
              </w:rPr>
            </w:pPr>
            <w:r>
              <w:rPr>
                <w:rFonts w:hint="eastAsia" w:ascii="宋体" w:hAnsi="宋体"/>
              </w:rPr>
              <w:t>1</w:t>
            </w:r>
          </w:p>
        </w:tc>
        <w:tc>
          <w:tcPr>
            <w:tcW w:w="1413" w:type="dxa"/>
            <w:tcBorders>
              <w:top w:val="nil"/>
              <w:left w:val="nil"/>
              <w:bottom w:val="single" w:color="auto" w:sz="4" w:space="0"/>
              <w:right w:val="single" w:color="auto" w:sz="4" w:space="0"/>
            </w:tcBorders>
            <w:noWrap/>
            <w:vAlign w:val="center"/>
          </w:tcPr>
          <w:p>
            <w:pPr>
              <w:ind w:firstLine="0" w:firstLineChars="0"/>
              <w:jc w:val="center"/>
              <w:rPr>
                <w:rFonts w:ascii="宋体" w:hAnsi="宋体" w:cs="宋体"/>
              </w:rPr>
            </w:pPr>
            <w:r>
              <w:rPr>
                <w:rFonts w:hint="eastAsia"/>
              </w:rPr>
              <w:t>方概惠</w:t>
            </w:r>
          </w:p>
        </w:tc>
        <w:tc>
          <w:tcPr>
            <w:tcW w:w="1555" w:type="dxa"/>
            <w:tcBorders>
              <w:top w:val="nil"/>
              <w:left w:val="nil"/>
              <w:bottom w:val="single" w:color="auto" w:sz="4" w:space="0"/>
              <w:right w:val="single" w:color="auto" w:sz="4" w:space="0"/>
            </w:tcBorders>
            <w:vAlign w:val="center"/>
          </w:tcPr>
          <w:p>
            <w:pPr>
              <w:ind w:firstLine="199" w:firstLineChars="83"/>
              <w:jc w:val="center"/>
              <w:rPr>
                <w:rFonts w:ascii="宋体" w:hAnsi="宋体" w:cs="宋体"/>
              </w:rPr>
            </w:pPr>
            <w:r>
              <w:rPr>
                <w:rFonts w:hint="eastAsia"/>
              </w:rPr>
              <w:t>机电部</w:t>
            </w:r>
          </w:p>
        </w:tc>
        <w:tc>
          <w:tcPr>
            <w:tcW w:w="2827" w:type="dxa"/>
            <w:tcBorders>
              <w:top w:val="nil"/>
              <w:left w:val="nil"/>
              <w:bottom w:val="single" w:color="auto" w:sz="4" w:space="0"/>
              <w:right w:val="single" w:color="auto" w:sz="4" w:space="0"/>
            </w:tcBorders>
            <w:vAlign w:val="center"/>
          </w:tcPr>
          <w:p>
            <w:pPr>
              <w:ind w:firstLine="480"/>
              <w:jc w:val="center"/>
              <w:rPr>
                <w:rFonts w:ascii="宋体" w:hAnsi="宋体" w:cs="宋体"/>
              </w:rPr>
            </w:pPr>
            <w:r>
              <w:rPr>
                <w:rFonts w:hint="eastAsia"/>
              </w:rPr>
              <w:t>ABB的型号与结构</w:t>
            </w:r>
          </w:p>
        </w:tc>
        <w:tc>
          <w:tcPr>
            <w:tcW w:w="1978" w:type="dxa"/>
            <w:tcBorders>
              <w:top w:val="nil"/>
              <w:left w:val="nil"/>
              <w:bottom w:val="single" w:color="auto" w:sz="4" w:space="0"/>
              <w:right w:val="single" w:color="auto" w:sz="4" w:space="0"/>
            </w:tcBorders>
            <w:noWrap/>
            <w:vAlign w:val="center"/>
          </w:tcPr>
          <w:p>
            <w:pPr>
              <w:ind w:firstLine="480"/>
              <w:jc w:val="center"/>
              <w:rPr>
                <w:rFonts w:ascii="宋体" w:hAnsi="宋体" w:cs="宋体"/>
              </w:rPr>
            </w:pPr>
            <w:r>
              <w:rPr>
                <w:rFonts w:hint="eastAsia"/>
              </w:rPr>
              <w:t>一等奖</w:t>
            </w:r>
          </w:p>
        </w:tc>
      </w:tr>
      <w:tr>
        <w:tblPrEx>
          <w:tblCellMar>
            <w:top w:w="0" w:type="dxa"/>
            <w:left w:w="108" w:type="dxa"/>
            <w:bottom w:w="0" w:type="dxa"/>
            <w:right w:w="108" w:type="dxa"/>
          </w:tblCellMar>
        </w:tblPrEx>
        <w:trPr>
          <w:trHeight w:val="340" w:hRule="atLeast"/>
        </w:trPr>
        <w:tc>
          <w:tcPr>
            <w:tcW w:w="1131" w:type="dxa"/>
            <w:tcBorders>
              <w:top w:val="nil"/>
              <w:left w:val="single" w:color="auto" w:sz="4" w:space="0"/>
              <w:bottom w:val="single" w:color="auto" w:sz="4" w:space="0"/>
              <w:right w:val="single" w:color="auto" w:sz="4" w:space="0"/>
            </w:tcBorders>
            <w:noWrap/>
            <w:vAlign w:val="center"/>
          </w:tcPr>
          <w:p>
            <w:pPr>
              <w:ind w:firstLine="480"/>
              <w:jc w:val="center"/>
              <w:rPr>
                <w:rFonts w:hint="eastAsia" w:ascii="宋体" w:hAnsi="宋体"/>
              </w:rPr>
            </w:pPr>
            <w:r>
              <w:rPr>
                <w:rFonts w:hint="eastAsia" w:ascii="宋体" w:hAnsi="宋体"/>
              </w:rPr>
              <w:t>2</w:t>
            </w:r>
          </w:p>
        </w:tc>
        <w:tc>
          <w:tcPr>
            <w:tcW w:w="1413" w:type="dxa"/>
            <w:tcBorders>
              <w:top w:val="nil"/>
              <w:left w:val="nil"/>
              <w:bottom w:val="single" w:color="auto" w:sz="4" w:space="0"/>
              <w:right w:val="single" w:color="auto" w:sz="4" w:space="0"/>
            </w:tcBorders>
            <w:noWrap/>
            <w:vAlign w:val="center"/>
          </w:tcPr>
          <w:p>
            <w:pPr>
              <w:ind w:firstLine="0" w:firstLineChars="0"/>
              <w:jc w:val="center"/>
              <w:rPr>
                <w:rFonts w:ascii="宋体" w:hAnsi="宋体" w:cs="宋体"/>
              </w:rPr>
            </w:pPr>
            <w:r>
              <w:rPr>
                <w:rFonts w:hint="eastAsia"/>
              </w:rPr>
              <w:t>林丹琪</w:t>
            </w:r>
          </w:p>
        </w:tc>
        <w:tc>
          <w:tcPr>
            <w:tcW w:w="1555" w:type="dxa"/>
            <w:tcBorders>
              <w:top w:val="nil"/>
              <w:left w:val="nil"/>
              <w:bottom w:val="single" w:color="auto" w:sz="4" w:space="0"/>
              <w:right w:val="single" w:color="auto" w:sz="4" w:space="0"/>
            </w:tcBorders>
            <w:vAlign w:val="center"/>
          </w:tcPr>
          <w:p>
            <w:pPr>
              <w:ind w:firstLine="199" w:firstLineChars="83"/>
              <w:jc w:val="center"/>
              <w:rPr>
                <w:rFonts w:ascii="宋体" w:hAnsi="宋体" w:cs="宋体"/>
              </w:rPr>
            </w:pPr>
            <w:r>
              <w:rPr>
                <w:rFonts w:hint="eastAsia"/>
              </w:rPr>
              <w:t>文艺部</w:t>
            </w:r>
          </w:p>
        </w:tc>
        <w:tc>
          <w:tcPr>
            <w:tcW w:w="2827" w:type="dxa"/>
            <w:tcBorders>
              <w:top w:val="nil"/>
              <w:left w:val="nil"/>
              <w:bottom w:val="single" w:color="auto" w:sz="4" w:space="0"/>
              <w:right w:val="single" w:color="auto" w:sz="4" w:space="0"/>
            </w:tcBorders>
            <w:vAlign w:val="center"/>
          </w:tcPr>
          <w:p>
            <w:pPr>
              <w:ind w:firstLine="480"/>
              <w:jc w:val="center"/>
              <w:rPr>
                <w:rFonts w:ascii="宋体" w:hAnsi="宋体" w:cs="宋体"/>
              </w:rPr>
            </w:pPr>
            <w:r>
              <w:rPr>
                <w:rFonts w:hint="eastAsia"/>
              </w:rPr>
              <w:t>《光与色》</w:t>
            </w:r>
          </w:p>
        </w:tc>
        <w:tc>
          <w:tcPr>
            <w:tcW w:w="1978" w:type="dxa"/>
            <w:tcBorders>
              <w:top w:val="nil"/>
              <w:left w:val="nil"/>
              <w:bottom w:val="single" w:color="auto" w:sz="4" w:space="0"/>
              <w:right w:val="single" w:color="auto" w:sz="4" w:space="0"/>
            </w:tcBorders>
            <w:noWrap/>
            <w:vAlign w:val="center"/>
          </w:tcPr>
          <w:p>
            <w:pPr>
              <w:ind w:firstLine="480"/>
              <w:jc w:val="center"/>
              <w:rPr>
                <w:rFonts w:ascii="宋体" w:hAnsi="宋体" w:cs="宋体"/>
              </w:rPr>
            </w:pPr>
            <w:r>
              <w:rPr>
                <w:rFonts w:hint="eastAsia"/>
              </w:rPr>
              <w:t>一等奖</w:t>
            </w:r>
          </w:p>
        </w:tc>
      </w:tr>
      <w:tr>
        <w:tblPrEx>
          <w:tblCellMar>
            <w:top w:w="0" w:type="dxa"/>
            <w:left w:w="108" w:type="dxa"/>
            <w:bottom w:w="0" w:type="dxa"/>
            <w:right w:w="108" w:type="dxa"/>
          </w:tblCellMar>
        </w:tblPrEx>
        <w:trPr>
          <w:trHeight w:val="340" w:hRule="atLeast"/>
        </w:trPr>
        <w:tc>
          <w:tcPr>
            <w:tcW w:w="1131" w:type="dxa"/>
            <w:tcBorders>
              <w:top w:val="nil"/>
              <w:left w:val="single" w:color="auto" w:sz="4" w:space="0"/>
              <w:bottom w:val="single" w:color="auto" w:sz="4" w:space="0"/>
              <w:right w:val="single" w:color="auto" w:sz="4" w:space="0"/>
            </w:tcBorders>
            <w:noWrap/>
            <w:vAlign w:val="center"/>
          </w:tcPr>
          <w:p>
            <w:pPr>
              <w:ind w:firstLine="480"/>
              <w:jc w:val="center"/>
              <w:rPr>
                <w:rFonts w:hint="eastAsia" w:ascii="宋体" w:hAnsi="宋体"/>
              </w:rPr>
            </w:pPr>
            <w:r>
              <w:rPr>
                <w:rFonts w:hint="eastAsia" w:ascii="宋体" w:hAnsi="宋体"/>
              </w:rPr>
              <w:t>3</w:t>
            </w:r>
          </w:p>
        </w:tc>
        <w:tc>
          <w:tcPr>
            <w:tcW w:w="1413" w:type="dxa"/>
            <w:tcBorders>
              <w:top w:val="nil"/>
              <w:left w:val="nil"/>
              <w:bottom w:val="single" w:color="auto" w:sz="4" w:space="0"/>
              <w:right w:val="single" w:color="auto" w:sz="4" w:space="0"/>
            </w:tcBorders>
            <w:noWrap/>
            <w:vAlign w:val="center"/>
          </w:tcPr>
          <w:p>
            <w:pPr>
              <w:ind w:firstLine="0" w:firstLineChars="0"/>
              <w:jc w:val="center"/>
              <w:rPr>
                <w:rFonts w:ascii="宋体" w:hAnsi="宋体" w:cs="宋体"/>
              </w:rPr>
            </w:pPr>
            <w:r>
              <w:rPr>
                <w:rFonts w:hint="eastAsia"/>
              </w:rPr>
              <w:t>吴小敏</w:t>
            </w:r>
          </w:p>
        </w:tc>
        <w:tc>
          <w:tcPr>
            <w:tcW w:w="1555" w:type="dxa"/>
            <w:tcBorders>
              <w:top w:val="nil"/>
              <w:left w:val="nil"/>
              <w:bottom w:val="single" w:color="auto" w:sz="4" w:space="0"/>
              <w:right w:val="single" w:color="auto" w:sz="4" w:space="0"/>
            </w:tcBorders>
            <w:vAlign w:val="center"/>
          </w:tcPr>
          <w:p>
            <w:pPr>
              <w:ind w:firstLine="199" w:firstLineChars="83"/>
              <w:jc w:val="center"/>
              <w:rPr>
                <w:rFonts w:ascii="宋体" w:hAnsi="宋体" w:cs="宋体"/>
              </w:rPr>
            </w:pPr>
            <w:r>
              <w:rPr>
                <w:rFonts w:hint="eastAsia"/>
              </w:rPr>
              <w:t>计机部</w:t>
            </w:r>
          </w:p>
        </w:tc>
        <w:tc>
          <w:tcPr>
            <w:tcW w:w="2827" w:type="dxa"/>
            <w:tcBorders>
              <w:top w:val="nil"/>
              <w:left w:val="nil"/>
              <w:bottom w:val="single" w:color="auto" w:sz="4" w:space="0"/>
              <w:right w:val="single" w:color="auto" w:sz="4" w:space="0"/>
            </w:tcBorders>
            <w:vAlign w:val="center"/>
          </w:tcPr>
          <w:p>
            <w:pPr>
              <w:ind w:firstLine="480"/>
              <w:jc w:val="center"/>
              <w:rPr>
                <w:rFonts w:ascii="宋体" w:hAnsi="宋体" w:cs="宋体"/>
              </w:rPr>
            </w:pPr>
            <w:r>
              <w:rPr>
                <w:rFonts w:hint="eastAsia"/>
              </w:rPr>
              <w:t>《裁剪工具》</w:t>
            </w:r>
          </w:p>
        </w:tc>
        <w:tc>
          <w:tcPr>
            <w:tcW w:w="1978" w:type="dxa"/>
            <w:tcBorders>
              <w:top w:val="nil"/>
              <w:left w:val="nil"/>
              <w:bottom w:val="single" w:color="auto" w:sz="4" w:space="0"/>
              <w:right w:val="single" w:color="auto" w:sz="4" w:space="0"/>
            </w:tcBorders>
            <w:noWrap/>
            <w:vAlign w:val="center"/>
          </w:tcPr>
          <w:p>
            <w:pPr>
              <w:ind w:firstLine="480"/>
              <w:jc w:val="center"/>
              <w:rPr>
                <w:rFonts w:ascii="宋体" w:hAnsi="宋体" w:cs="宋体"/>
              </w:rPr>
            </w:pPr>
            <w:r>
              <w:rPr>
                <w:rFonts w:hint="eastAsia"/>
              </w:rPr>
              <w:t>二等奖</w:t>
            </w:r>
          </w:p>
        </w:tc>
      </w:tr>
      <w:tr>
        <w:tblPrEx>
          <w:tblCellMar>
            <w:top w:w="0" w:type="dxa"/>
            <w:left w:w="108" w:type="dxa"/>
            <w:bottom w:w="0" w:type="dxa"/>
            <w:right w:w="108" w:type="dxa"/>
          </w:tblCellMar>
        </w:tblPrEx>
        <w:trPr>
          <w:trHeight w:val="340" w:hRule="atLeast"/>
        </w:trPr>
        <w:tc>
          <w:tcPr>
            <w:tcW w:w="1131" w:type="dxa"/>
            <w:tcBorders>
              <w:top w:val="nil"/>
              <w:left w:val="single" w:color="auto" w:sz="4" w:space="0"/>
              <w:bottom w:val="single" w:color="auto" w:sz="4" w:space="0"/>
              <w:right w:val="single" w:color="auto" w:sz="4" w:space="0"/>
            </w:tcBorders>
            <w:noWrap/>
            <w:vAlign w:val="center"/>
          </w:tcPr>
          <w:p>
            <w:pPr>
              <w:ind w:firstLine="480"/>
              <w:jc w:val="center"/>
              <w:rPr>
                <w:rFonts w:hint="eastAsia" w:ascii="宋体" w:hAnsi="宋体"/>
              </w:rPr>
            </w:pPr>
            <w:r>
              <w:rPr>
                <w:rFonts w:hint="eastAsia" w:ascii="宋体" w:hAnsi="宋体"/>
              </w:rPr>
              <w:t>4</w:t>
            </w:r>
          </w:p>
        </w:tc>
        <w:tc>
          <w:tcPr>
            <w:tcW w:w="1413" w:type="dxa"/>
            <w:tcBorders>
              <w:top w:val="nil"/>
              <w:left w:val="nil"/>
              <w:bottom w:val="single" w:color="auto" w:sz="4" w:space="0"/>
              <w:right w:val="single" w:color="auto" w:sz="4" w:space="0"/>
            </w:tcBorders>
            <w:noWrap/>
            <w:vAlign w:val="center"/>
          </w:tcPr>
          <w:p>
            <w:pPr>
              <w:ind w:firstLine="0" w:firstLineChars="0"/>
              <w:jc w:val="center"/>
              <w:rPr>
                <w:rFonts w:ascii="宋体" w:hAnsi="宋体" w:cs="宋体"/>
              </w:rPr>
            </w:pPr>
            <w:r>
              <w:rPr>
                <w:rFonts w:hint="eastAsia"/>
              </w:rPr>
              <w:t>卢童晓</w:t>
            </w:r>
          </w:p>
        </w:tc>
        <w:tc>
          <w:tcPr>
            <w:tcW w:w="1555" w:type="dxa"/>
            <w:tcBorders>
              <w:top w:val="nil"/>
              <w:left w:val="nil"/>
              <w:bottom w:val="single" w:color="auto" w:sz="4" w:space="0"/>
              <w:right w:val="single" w:color="auto" w:sz="4" w:space="0"/>
            </w:tcBorders>
            <w:vAlign w:val="center"/>
          </w:tcPr>
          <w:p>
            <w:pPr>
              <w:ind w:firstLine="199" w:firstLineChars="83"/>
              <w:jc w:val="center"/>
              <w:rPr>
                <w:rFonts w:ascii="宋体" w:hAnsi="宋体" w:cs="宋体"/>
              </w:rPr>
            </w:pPr>
            <w:r>
              <w:rPr>
                <w:rFonts w:hint="eastAsia"/>
              </w:rPr>
              <w:t>文艺部</w:t>
            </w:r>
          </w:p>
        </w:tc>
        <w:tc>
          <w:tcPr>
            <w:tcW w:w="2827" w:type="dxa"/>
            <w:tcBorders>
              <w:top w:val="nil"/>
              <w:left w:val="nil"/>
              <w:bottom w:val="single" w:color="auto" w:sz="4" w:space="0"/>
              <w:right w:val="single" w:color="auto" w:sz="4" w:space="0"/>
            </w:tcBorders>
            <w:vAlign w:val="center"/>
          </w:tcPr>
          <w:p>
            <w:pPr>
              <w:ind w:firstLine="199" w:firstLineChars="83"/>
              <w:jc w:val="center"/>
              <w:rPr>
                <w:rFonts w:ascii="宋体" w:hAnsi="宋体" w:cs="宋体"/>
              </w:rPr>
            </w:pPr>
            <w:r>
              <w:rPr>
                <w:rFonts w:hint="eastAsia"/>
              </w:rPr>
              <w:t>Unit6Weather天气</w:t>
            </w:r>
          </w:p>
        </w:tc>
        <w:tc>
          <w:tcPr>
            <w:tcW w:w="1978" w:type="dxa"/>
            <w:tcBorders>
              <w:top w:val="nil"/>
              <w:left w:val="nil"/>
              <w:bottom w:val="single" w:color="auto" w:sz="4" w:space="0"/>
              <w:right w:val="single" w:color="auto" w:sz="4" w:space="0"/>
            </w:tcBorders>
            <w:noWrap/>
            <w:vAlign w:val="center"/>
          </w:tcPr>
          <w:p>
            <w:pPr>
              <w:ind w:firstLine="480"/>
              <w:jc w:val="center"/>
              <w:rPr>
                <w:rFonts w:ascii="宋体" w:hAnsi="宋体" w:cs="宋体"/>
              </w:rPr>
            </w:pPr>
            <w:r>
              <w:rPr>
                <w:rFonts w:hint="eastAsia"/>
              </w:rPr>
              <w:t>二等奖</w:t>
            </w:r>
          </w:p>
        </w:tc>
      </w:tr>
      <w:tr>
        <w:tblPrEx>
          <w:tblCellMar>
            <w:top w:w="0" w:type="dxa"/>
            <w:left w:w="108" w:type="dxa"/>
            <w:bottom w:w="0" w:type="dxa"/>
            <w:right w:w="108" w:type="dxa"/>
          </w:tblCellMar>
        </w:tblPrEx>
        <w:trPr>
          <w:trHeight w:val="340" w:hRule="atLeast"/>
        </w:trPr>
        <w:tc>
          <w:tcPr>
            <w:tcW w:w="1131" w:type="dxa"/>
            <w:tcBorders>
              <w:top w:val="nil"/>
              <w:left w:val="single" w:color="auto" w:sz="4" w:space="0"/>
              <w:bottom w:val="single" w:color="auto" w:sz="4" w:space="0"/>
              <w:right w:val="single" w:color="auto" w:sz="4" w:space="0"/>
            </w:tcBorders>
            <w:noWrap/>
            <w:vAlign w:val="center"/>
          </w:tcPr>
          <w:p>
            <w:pPr>
              <w:ind w:firstLine="480"/>
              <w:jc w:val="center"/>
              <w:rPr>
                <w:rFonts w:hint="eastAsia" w:ascii="宋体" w:hAnsi="宋体"/>
              </w:rPr>
            </w:pPr>
            <w:r>
              <w:rPr>
                <w:rFonts w:hint="eastAsia" w:ascii="宋体" w:hAnsi="宋体"/>
              </w:rPr>
              <w:t>5</w:t>
            </w:r>
          </w:p>
        </w:tc>
        <w:tc>
          <w:tcPr>
            <w:tcW w:w="1413" w:type="dxa"/>
            <w:tcBorders>
              <w:top w:val="nil"/>
              <w:left w:val="nil"/>
              <w:bottom w:val="single" w:color="auto" w:sz="4" w:space="0"/>
              <w:right w:val="single" w:color="auto" w:sz="4" w:space="0"/>
            </w:tcBorders>
            <w:noWrap/>
            <w:vAlign w:val="center"/>
          </w:tcPr>
          <w:p>
            <w:pPr>
              <w:ind w:firstLine="0" w:firstLineChars="0"/>
              <w:jc w:val="center"/>
              <w:rPr>
                <w:rFonts w:ascii="宋体" w:hAnsi="宋体" w:cs="宋体"/>
              </w:rPr>
            </w:pPr>
            <w:r>
              <w:rPr>
                <w:rFonts w:hint="eastAsia"/>
              </w:rPr>
              <w:t>杨欢跃</w:t>
            </w:r>
          </w:p>
        </w:tc>
        <w:tc>
          <w:tcPr>
            <w:tcW w:w="1555" w:type="dxa"/>
            <w:tcBorders>
              <w:top w:val="nil"/>
              <w:left w:val="nil"/>
              <w:bottom w:val="single" w:color="auto" w:sz="4" w:space="0"/>
              <w:right w:val="single" w:color="auto" w:sz="4" w:space="0"/>
            </w:tcBorders>
            <w:vAlign w:val="center"/>
          </w:tcPr>
          <w:p>
            <w:pPr>
              <w:ind w:firstLine="199" w:firstLineChars="83"/>
              <w:jc w:val="center"/>
              <w:rPr>
                <w:rFonts w:ascii="宋体" w:hAnsi="宋体" w:cs="宋体"/>
              </w:rPr>
            </w:pPr>
            <w:r>
              <w:rPr>
                <w:rFonts w:hint="eastAsia"/>
              </w:rPr>
              <w:t>计机部</w:t>
            </w:r>
          </w:p>
        </w:tc>
        <w:tc>
          <w:tcPr>
            <w:tcW w:w="2827" w:type="dxa"/>
            <w:tcBorders>
              <w:top w:val="nil"/>
              <w:left w:val="nil"/>
              <w:bottom w:val="single" w:color="auto" w:sz="4" w:space="0"/>
              <w:right w:val="single" w:color="auto" w:sz="4" w:space="0"/>
            </w:tcBorders>
            <w:vAlign w:val="center"/>
          </w:tcPr>
          <w:p>
            <w:pPr>
              <w:ind w:firstLine="480"/>
              <w:jc w:val="center"/>
              <w:rPr>
                <w:rFonts w:ascii="宋体" w:hAnsi="宋体" w:cs="宋体"/>
              </w:rPr>
            </w:pPr>
            <w:r>
              <w:rPr>
                <w:rFonts w:hint="eastAsia"/>
              </w:rPr>
              <w:t>职中英语</w:t>
            </w:r>
          </w:p>
        </w:tc>
        <w:tc>
          <w:tcPr>
            <w:tcW w:w="1978" w:type="dxa"/>
            <w:tcBorders>
              <w:top w:val="nil"/>
              <w:left w:val="nil"/>
              <w:bottom w:val="single" w:color="auto" w:sz="4" w:space="0"/>
              <w:right w:val="single" w:color="auto" w:sz="4" w:space="0"/>
            </w:tcBorders>
            <w:noWrap/>
            <w:vAlign w:val="center"/>
          </w:tcPr>
          <w:p>
            <w:pPr>
              <w:ind w:firstLine="480"/>
              <w:jc w:val="center"/>
              <w:rPr>
                <w:rFonts w:ascii="宋体" w:hAnsi="宋体" w:cs="宋体"/>
              </w:rPr>
            </w:pPr>
            <w:r>
              <w:rPr>
                <w:rFonts w:hint="eastAsia"/>
              </w:rPr>
              <w:t>二等奖</w:t>
            </w:r>
          </w:p>
        </w:tc>
      </w:tr>
      <w:tr>
        <w:tblPrEx>
          <w:tblCellMar>
            <w:top w:w="0" w:type="dxa"/>
            <w:left w:w="108" w:type="dxa"/>
            <w:bottom w:w="0" w:type="dxa"/>
            <w:right w:w="108" w:type="dxa"/>
          </w:tblCellMar>
        </w:tblPrEx>
        <w:trPr>
          <w:trHeight w:val="340" w:hRule="atLeast"/>
        </w:trPr>
        <w:tc>
          <w:tcPr>
            <w:tcW w:w="1131" w:type="dxa"/>
            <w:tcBorders>
              <w:top w:val="nil"/>
              <w:left w:val="single" w:color="auto" w:sz="4" w:space="0"/>
              <w:bottom w:val="single" w:color="auto" w:sz="4" w:space="0"/>
              <w:right w:val="single" w:color="auto" w:sz="4" w:space="0"/>
            </w:tcBorders>
            <w:noWrap/>
            <w:vAlign w:val="center"/>
          </w:tcPr>
          <w:p>
            <w:pPr>
              <w:ind w:firstLine="480"/>
              <w:jc w:val="center"/>
              <w:rPr>
                <w:rFonts w:hint="eastAsia" w:ascii="宋体" w:hAnsi="宋体"/>
              </w:rPr>
            </w:pPr>
            <w:r>
              <w:rPr>
                <w:rFonts w:hint="eastAsia" w:ascii="宋体" w:hAnsi="宋体"/>
              </w:rPr>
              <w:t>6</w:t>
            </w:r>
          </w:p>
        </w:tc>
        <w:tc>
          <w:tcPr>
            <w:tcW w:w="1413" w:type="dxa"/>
            <w:tcBorders>
              <w:top w:val="nil"/>
              <w:left w:val="nil"/>
              <w:bottom w:val="single" w:color="auto" w:sz="4" w:space="0"/>
              <w:right w:val="single" w:color="auto" w:sz="4" w:space="0"/>
            </w:tcBorders>
            <w:noWrap/>
            <w:vAlign w:val="center"/>
          </w:tcPr>
          <w:p>
            <w:pPr>
              <w:ind w:firstLine="0" w:firstLineChars="0"/>
              <w:jc w:val="center"/>
              <w:rPr>
                <w:rFonts w:ascii="宋体" w:hAnsi="宋体" w:cs="宋体"/>
              </w:rPr>
            </w:pPr>
            <w:r>
              <w:rPr>
                <w:rFonts w:hint="eastAsia"/>
              </w:rPr>
              <w:t>谢晓佳</w:t>
            </w:r>
          </w:p>
        </w:tc>
        <w:tc>
          <w:tcPr>
            <w:tcW w:w="1555" w:type="dxa"/>
            <w:tcBorders>
              <w:top w:val="nil"/>
              <w:left w:val="nil"/>
              <w:bottom w:val="single" w:color="auto" w:sz="4" w:space="0"/>
              <w:right w:val="single" w:color="auto" w:sz="4" w:space="0"/>
            </w:tcBorders>
            <w:vAlign w:val="center"/>
          </w:tcPr>
          <w:p>
            <w:pPr>
              <w:ind w:firstLine="199" w:firstLineChars="83"/>
              <w:jc w:val="center"/>
              <w:rPr>
                <w:rFonts w:ascii="宋体" w:hAnsi="宋体" w:cs="宋体"/>
              </w:rPr>
            </w:pPr>
            <w:r>
              <w:rPr>
                <w:rFonts w:hint="eastAsia"/>
              </w:rPr>
              <w:t>计机部</w:t>
            </w:r>
          </w:p>
        </w:tc>
        <w:tc>
          <w:tcPr>
            <w:tcW w:w="2827" w:type="dxa"/>
            <w:tcBorders>
              <w:top w:val="nil"/>
              <w:left w:val="nil"/>
              <w:bottom w:val="single" w:color="auto" w:sz="4" w:space="0"/>
              <w:right w:val="single" w:color="auto" w:sz="4" w:space="0"/>
            </w:tcBorders>
            <w:vAlign w:val="center"/>
          </w:tcPr>
          <w:p>
            <w:pPr>
              <w:ind w:firstLine="0" w:firstLineChars="0"/>
              <w:jc w:val="center"/>
              <w:rPr>
                <w:rFonts w:ascii="宋体" w:hAnsi="宋体" w:cs="宋体"/>
              </w:rPr>
            </w:pPr>
            <w:r>
              <w:rPr>
                <w:rFonts w:hint="eastAsia"/>
              </w:rPr>
              <w:t>《双绞线网线的制作》</w:t>
            </w:r>
          </w:p>
        </w:tc>
        <w:tc>
          <w:tcPr>
            <w:tcW w:w="1978" w:type="dxa"/>
            <w:tcBorders>
              <w:top w:val="nil"/>
              <w:left w:val="nil"/>
              <w:bottom w:val="single" w:color="auto" w:sz="4" w:space="0"/>
              <w:right w:val="single" w:color="auto" w:sz="4" w:space="0"/>
            </w:tcBorders>
            <w:noWrap/>
            <w:vAlign w:val="center"/>
          </w:tcPr>
          <w:p>
            <w:pPr>
              <w:ind w:firstLine="480"/>
              <w:jc w:val="center"/>
              <w:rPr>
                <w:rFonts w:ascii="宋体" w:hAnsi="宋体" w:cs="宋体"/>
              </w:rPr>
            </w:pPr>
            <w:r>
              <w:rPr>
                <w:rFonts w:hint="eastAsia"/>
              </w:rPr>
              <w:t>三等奖</w:t>
            </w:r>
          </w:p>
        </w:tc>
      </w:tr>
      <w:tr>
        <w:tblPrEx>
          <w:tblCellMar>
            <w:top w:w="0" w:type="dxa"/>
            <w:left w:w="108" w:type="dxa"/>
            <w:bottom w:w="0" w:type="dxa"/>
            <w:right w:w="108" w:type="dxa"/>
          </w:tblCellMar>
        </w:tblPrEx>
        <w:trPr>
          <w:trHeight w:val="340" w:hRule="atLeast"/>
        </w:trPr>
        <w:tc>
          <w:tcPr>
            <w:tcW w:w="1131" w:type="dxa"/>
            <w:tcBorders>
              <w:top w:val="nil"/>
              <w:left w:val="single" w:color="auto" w:sz="4" w:space="0"/>
              <w:bottom w:val="single" w:color="auto" w:sz="4" w:space="0"/>
              <w:right w:val="single" w:color="auto" w:sz="4" w:space="0"/>
            </w:tcBorders>
            <w:noWrap/>
            <w:vAlign w:val="center"/>
          </w:tcPr>
          <w:p>
            <w:pPr>
              <w:ind w:firstLine="480"/>
              <w:jc w:val="center"/>
              <w:rPr>
                <w:rFonts w:hint="eastAsia" w:ascii="宋体" w:hAnsi="宋体"/>
              </w:rPr>
            </w:pPr>
            <w:r>
              <w:rPr>
                <w:rFonts w:hint="eastAsia" w:ascii="宋体" w:hAnsi="宋体"/>
              </w:rPr>
              <w:t>7</w:t>
            </w:r>
          </w:p>
        </w:tc>
        <w:tc>
          <w:tcPr>
            <w:tcW w:w="1413" w:type="dxa"/>
            <w:tcBorders>
              <w:top w:val="nil"/>
              <w:left w:val="nil"/>
              <w:bottom w:val="single" w:color="auto" w:sz="4" w:space="0"/>
              <w:right w:val="single" w:color="auto" w:sz="4" w:space="0"/>
            </w:tcBorders>
            <w:noWrap/>
            <w:vAlign w:val="center"/>
          </w:tcPr>
          <w:p>
            <w:pPr>
              <w:ind w:firstLine="0" w:firstLineChars="0"/>
              <w:jc w:val="center"/>
              <w:rPr>
                <w:rFonts w:ascii="宋体" w:hAnsi="宋体" w:cs="宋体"/>
              </w:rPr>
            </w:pPr>
            <w:r>
              <w:rPr>
                <w:rFonts w:hint="eastAsia"/>
              </w:rPr>
              <w:t>吴麦琪</w:t>
            </w:r>
          </w:p>
        </w:tc>
        <w:tc>
          <w:tcPr>
            <w:tcW w:w="1555" w:type="dxa"/>
            <w:tcBorders>
              <w:top w:val="nil"/>
              <w:left w:val="nil"/>
              <w:bottom w:val="single" w:color="auto" w:sz="4" w:space="0"/>
              <w:right w:val="single" w:color="auto" w:sz="4" w:space="0"/>
            </w:tcBorders>
            <w:vAlign w:val="center"/>
          </w:tcPr>
          <w:p>
            <w:pPr>
              <w:ind w:firstLine="199" w:firstLineChars="83"/>
              <w:jc w:val="center"/>
              <w:rPr>
                <w:rFonts w:ascii="宋体" w:hAnsi="宋体" w:cs="宋体"/>
              </w:rPr>
            </w:pPr>
            <w:r>
              <w:rPr>
                <w:rFonts w:hint="eastAsia"/>
              </w:rPr>
              <w:t>机电部</w:t>
            </w:r>
          </w:p>
        </w:tc>
        <w:tc>
          <w:tcPr>
            <w:tcW w:w="2827"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《汽车构造》发动机工作原理</w:t>
            </w:r>
          </w:p>
        </w:tc>
        <w:tc>
          <w:tcPr>
            <w:tcW w:w="1978" w:type="dxa"/>
            <w:tcBorders>
              <w:top w:val="nil"/>
              <w:left w:val="nil"/>
              <w:bottom w:val="single" w:color="auto" w:sz="4" w:space="0"/>
              <w:right w:val="single" w:color="auto" w:sz="4" w:space="0"/>
            </w:tcBorders>
            <w:noWrap/>
            <w:vAlign w:val="center"/>
          </w:tcPr>
          <w:p>
            <w:pPr>
              <w:ind w:firstLine="480"/>
              <w:jc w:val="center"/>
              <w:rPr>
                <w:rFonts w:ascii="宋体" w:hAnsi="宋体" w:cs="宋体"/>
              </w:rPr>
            </w:pPr>
            <w:r>
              <w:rPr>
                <w:rFonts w:hint="eastAsia"/>
              </w:rPr>
              <w:t>三等奖</w:t>
            </w:r>
          </w:p>
        </w:tc>
      </w:tr>
      <w:tr>
        <w:tblPrEx>
          <w:tblCellMar>
            <w:top w:w="0" w:type="dxa"/>
            <w:left w:w="108" w:type="dxa"/>
            <w:bottom w:w="0" w:type="dxa"/>
            <w:right w:w="108" w:type="dxa"/>
          </w:tblCellMar>
        </w:tblPrEx>
        <w:trPr>
          <w:trHeight w:val="340" w:hRule="atLeast"/>
        </w:trPr>
        <w:tc>
          <w:tcPr>
            <w:tcW w:w="1131" w:type="dxa"/>
            <w:tcBorders>
              <w:top w:val="nil"/>
              <w:left w:val="single" w:color="auto" w:sz="4" w:space="0"/>
              <w:bottom w:val="single" w:color="auto" w:sz="4" w:space="0"/>
              <w:right w:val="single" w:color="auto" w:sz="4" w:space="0"/>
            </w:tcBorders>
            <w:noWrap/>
            <w:vAlign w:val="center"/>
          </w:tcPr>
          <w:p>
            <w:pPr>
              <w:ind w:firstLine="480"/>
              <w:jc w:val="center"/>
              <w:rPr>
                <w:rFonts w:hint="eastAsia" w:ascii="宋体" w:hAnsi="宋体"/>
              </w:rPr>
            </w:pPr>
            <w:r>
              <w:rPr>
                <w:rFonts w:hint="eastAsia" w:ascii="宋体" w:hAnsi="宋体"/>
              </w:rPr>
              <w:t>8</w:t>
            </w:r>
          </w:p>
        </w:tc>
        <w:tc>
          <w:tcPr>
            <w:tcW w:w="1413" w:type="dxa"/>
            <w:tcBorders>
              <w:top w:val="nil"/>
              <w:left w:val="nil"/>
              <w:bottom w:val="single" w:color="auto" w:sz="4" w:space="0"/>
              <w:right w:val="single" w:color="auto" w:sz="4" w:space="0"/>
            </w:tcBorders>
            <w:noWrap/>
            <w:vAlign w:val="center"/>
          </w:tcPr>
          <w:p>
            <w:pPr>
              <w:ind w:firstLine="0" w:firstLineChars="0"/>
              <w:jc w:val="center"/>
              <w:rPr>
                <w:rFonts w:ascii="宋体" w:hAnsi="宋体" w:cs="宋体"/>
              </w:rPr>
            </w:pPr>
            <w:r>
              <w:rPr>
                <w:rFonts w:hint="eastAsia"/>
              </w:rPr>
              <w:t>李妙霞</w:t>
            </w:r>
          </w:p>
        </w:tc>
        <w:tc>
          <w:tcPr>
            <w:tcW w:w="1555" w:type="dxa"/>
            <w:tcBorders>
              <w:top w:val="nil"/>
              <w:left w:val="nil"/>
              <w:bottom w:val="single" w:color="auto" w:sz="4" w:space="0"/>
              <w:right w:val="single" w:color="auto" w:sz="4" w:space="0"/>
            </w:tcBorders>
            <w:vAlign w:val="center"/>
          </w:tcPr>
          <w:p>
            <w:pPr>
              <w:ind w:firstLine="199" w:firstLineChars="83"/>
              <w:jc w:val="center"/>
              <w:rPr>
                <w:rFonts w:ascii="宋体" w:hAnsi="宋体" w:cs="宋体"/>
              </w:rPr>
            </w:pPr>
            <w:r>
              <w:rPr>
                <w:rFonts w:hint="eastAsia"/>
              </w:rPr>
              <w:t>文艺部</w:t>
            </w:r>
          </w:p>
        </w:tc>
        <w:tc>
          <w:tcPr>
            <w:tcW w:w="2827" w:type="dxa"/>
            <w:tcBorders>
              <w:top w:val="nil"/>
              <w:left w:val="nil"/>
              <w:bottom w:val="single" w:color="auto" w:sz="4" w:space="0"/>
              <w:right w:val="single" w:color="auto" w:sz="4" w:space="0"/>
            </w:tcBorders>
            <w:vAlign w:val="center"/>
          </w:tcPr>
          <w:p>
            <w:pPr>
              <w:ind w:firstLine="0" w:firstLineChars="0"/>
              <w:jc w:val="center"/>
              <w:rPr>
                <w:rFonts w:ascii="宋体" w:hAnsi="宋体" w:cs="宋体"/>
              </w:rPr>
            </w:pPr>
            <w:r>
              <w:rPr>
                <w:rFonts w:hint="eastAsia"/>
              </w:rPr>
              <w:t>《职业道德重在养成》</w:t>
            </w:r>
          </w:p>
        </w:tc>
        <w:tc>
          <w:tcPr>
            <w:tcW w:w="1978" w:type="dxa"/>
            <w:tcBorders>
              <w:top w:val="nil"/>
              <w:left w:val="nil"/>
              <w:bottom w:val="single" w:color="auto" w:sz="4" w:space="0"/>
              <w:right w:val="single" w:color="auto" w:sz="4" w:space="0"/>
            </w:tcBorders>
            <w:noWrap/>
            <w:vAlign w:val="center"/>
          </w:tcPr>
          <w:p>
            <w:pPr>
              <w:ind w:firstLine="480"/>
              <w:jc w:val="center"/>
              <w:rPr>
                <w:rFonts w:ascii="宋体" w:hAnsi="宋体" w:cs="宋体"/>
              </w:rPr>
            </w:pPr>
            <w:r>
              <w:rPr>
                <w:rFonts w:hint="eastAsia"/>
              </w:rPr>
              <w:t>三等奖</w:t>
            </w:r>
          </w:p>
        </w:tc>
      </w:tr>
      <w:tr>
        <w:tblPrEx>
          <w:tblCellMar>
            <w:top w:w="0" w:type="dxa"/>
            <w:left w:w="108" w:type="dxa"/>
            <w:bottom w:w="0" w:type="dxa"/>
            <w:right w:w="108" w:type="dxa"/>
          </w:tblCellMar>
        </w:tblPrEx>
        <w:trPr>
          <w:trHeight w:val="340" w:hRule="atLeast"/>
        </w:trPr>
        <w:tc>
          <w:tcPr>
            <w:tcW w:w="1131" w:type="dxa"/>
            <w:tcBorders>
              <w:top w:val="nil"/>
              <w:left w:val="single" w:color="auto" w:sz="4" w:space="0"/>
              <w:bottom w:val="single" w:color="auto" w:sz="4" w:space="0"/>
              <w:right w:val="single" w:color="auto" w:sz="4" w:space="0"/>
            </w:tcBorders>
            <w:noWrap/>
            <w:vAlign w:val="center"/>
          </w:tcPr>
          <w:p>
            <w:pPr>
              <w:ind w:firstLine="480"/>
              <w:jc w:val="center"/>
              <w:rPr>
                <w:rFonts w:hint="eastAsia" w:ascii="宋体" w:hAnsi="宋体"/>
              </w:rPr>
            </w:pPr>
            <w:r>
              <w:rPr>
                <w:rFonts w:hint="eastAsia" w:ascii="宋体" w:hAnsi="宋体"/>
              </w:rPr>
              <w:t>9</w:t>
            </w:r>
          </w:p>
        </w:tc>
        <w:tc>
          <w:tcPr>
            <w:tcW w:w="1413" w:type="dxa"/>
            <w:tcBorders>
              <w:top w:val="nil"/>
              <w:left w:val="nil"/>
              <w:bottom w:val="single" w:color="auto" w:sz="4" w:space="0"/>
              <w:right w:val="single" w:color="auto" w:sz="4" w:space="0"/>
            </w:tcBorders>
            <w:noWrap/>
            <w:vAlign w:val="center"/>
          </w:tcPr>
          <w:p>
            <w:pPr>
              <w:ind w:firstLine="0" w:firstLineChars="0"/>
              <w:jc w:val="center"/>
              <w:rPr>
                <w:rFonts w:ascii="宋体" w:hAnsi="宋体" w:cs="宋体"/>
              </w:rPr>
            </w:pPr>
            <w:r>
              <w:rPr>
                <w:rFonts w:hint="eastAsia"/>
              </w:rPr>
              <w:t>柯文荣</w:t>
            </w:r>
          </w:p>
        </w:tc>
        <w:tc>
          <w:tcPr>
            <w:tcW w:w="1555" w:type="dxa"/>
            <w:tcBorders>
              <w:top w:val="nil"/>
              <w:left w:val="nil"/>
              <w:bottom w:val="single" w:color="auto" w:sz="4" w:space="0"/>
              <w:right w:val="single" w:color="auto" w:sz="4" w:space="0"/>
            </w:tcBorders>
            <w:vAlign w:val="center"/>
          </w:tcPr>
          <w:p>
            <w:pPr>
              <w:ind w:firstLine="199" w:firstLineChars="83"/>
              <w:jc w:val="center"/>
              <w:rPr>
                <w:rFonts w:ascii="宋体" w:hAnsi="宋体" w:cs="宋体"/>
              </w:rPr>
            </w:pPr>
            <w:r>
              <w:rPr>
                <w:rFonts w:hint="eastAsia"/>
              </w:rPr>
              <w:t>文艺部</w:t>
            </w:r>
          </w:p>
        </w:tc>
        <w:tc>
          <w:tcPr>
            <w:tcW w:w="2827" w:type="dxa"/>
            <w:tcBorders>
              <w:top w:val="nil"/>
              <w:left w:val="nil"/>
              <w:bottom w:val="single" w:color="auto" w:sz="4" w:space="0"/>
              <w:right w:val="single" w:color="auto" w:sz="4" w:space="0"/>
            </w:tcBorders>
            <w:vAlign w:val="center"/>
          </w:tcPr>
          <w:p>
            <w:pPr>
              <w:ind w:firstLine="480"/>
              <w:jc w:val="center"/>
              <w:rPr>
                <w:rFonts w:ascii="宋体" w:hAnsi="宋体" w:cs="宋体"/>
              </w:rPr>
            </w:pPr>
            <w:r>
              <w:rPr>
                <w:rFonts w:hint="eastAsia"/>
              </w:rPr>
              <w:t>音乐视唱练耳课</w:t>
            </w:r>
          </w:p>
        </w:tc>
        <w:tc>
          <w:tcPr>
            <w:tcW w:w="1978" w:type="dxa"/>
            <w:tcBorders>
              <w:top w:val="nil"/>
              <w:left w:val="nil"/>
              <w:bottom w:val="single" w:color="auto" w:sz="4" w:space="0"/>
              <w:right w:val="single" w:color="auto" w:sz="4" w:space="0"/>
            </w:tcBorders>
            <w:noWrap/>
            <w:vAlign w:val="center"/>
          </w:tcPr>
          <w:p>
            <w:pPr>
              <w:ind w:firstLine="480"/>
              <w:jc w:val="center"/>
              <w:rPr>
                <w:rFonts w:ascii="宋体" w:hAnsi="宋体" w:cs="宋体"/>
              </w:rPr>
            </w:pPr>
            <w:r>
              <w:rPr>
                <w:rFonts w:hint="eastAsia"/>
              </w:rPr>
              <w:t>三等奖</w:t>
            </w:r>
          </w:p>
        </w:tc>
      </w:tr>
    </w:tbl>
    <w:p>
      <w:pPr>
        <w:adjustRightInd w:val="0"/>
        <w:snapToGrid w:val="0"/>
        <w:spacing w:before="120" w:beforeLines="50" w:after="120" w:afterLines="50"/>
        <w:ind w:firstLine="562"/>
        <w:rPr>
          <w:rFonts w:eastAsia="黑体"/>
          <w:b/>
          <w:bCs/>
          <w:sz w:val="28"/>
          <w:szCs w:val="32"/>
        </w:rPr>
      </w:pPr>
      <w:r>
        <w:rPr>
          <w:rFonts w:hint="eastAsia" w:ascii="Cambria" w:hAnsi="Cambria" w:eastAsia="黑体"/>
          <w:b/>
          <w:bCs/>
          <w:kern w:val="28"/>
          <w:sz w:val="28"/>
          <w:szCs w:val="28"/>
        </w:rPr>
        <w:t>3.2.4</w:t>
      </w:r>
      <w:r>
        <w:rPr>
          <w:rFonts w:hint="eastAsia" w:eastAsia="黑体"/>
          <w:b/>
          <w:bCs/>
          <w:sz w:val="28"/>
          <w:szCs w:val="32"/>
        </w:rPr>
        <w:t>人才培养模式改革</w:t>
      </w:r>
    </w:p>
    <w:p>
      <w:pPr>
        <w:ind w:firstLine="480"/>
      </w:pPr>
      <w:r>
        <w:rPr>
          <w:rFonts w:hint="eastAsia"/>
        </w:rPr>
        <w:t>学校开展揭阳市</w:t>
      </w:r>
      <w:r>
        <w:rPr>
          <w:rFonts w:hint="eastAsia" w:ascii="宋体" w:hAnsi="宋体"/>
        </w:rPr>
        <w:t>教育科学“十三五”规划2017年</w:t>
      </w:r>
      <w:r>
        <w:rPr>
          <w:rFonts w:hint="eastAsia"/>
        </w:rPr>
        <w:t>重点课题研究《“中餐烹饪与营养膳食”专业试行现代学徒制办学模式研究》。</w:t>
      </w:r>
    </w:p>
    <w:p>
      <w:pPr>
        <w:ind w:firstLine="480"/>
      </w:pPr>
      <w:r>
        <w:rPr>
          <w:rFonts w:hint="eastAsia"/>
        </w:rPr>
        <w:t xml:space="preserve"> 本课题的研究，积极引导校企合作朝着标准化、规范化、社会化方向发展，积极探索特色鲜明、形式多样的校企合作管理模式，促进校企合作实训基地管理体制和运行机制的规范化、制度化建设，努力将其建设成稳定的、高质量、高效率的实训基地。按照烹饪行业一线的岗位能力标准要求，加强学生实践能力和创新精神的培养，尽力提高学生的技能水平和就业能力，大力培养适应企业需要、满足社会需求的应用型人才，增加企业的经济效益，提升学校的社会影响力，更好地满足中等职业教育发展的内在需要，同时实现校企双方合作“优势互补、互利互惠”的“双赢”目标。</w:t>
      </w:r>
    </w:p>
    <w:p>
      <w:pPr>
        <w:adjustRightInd w:val="0"/>
        <w:snapToGrid w:val="0"/>
        <w:spacing w:before="120" w:beforeLines="50" w:after="120" w:afterLines="50"/>
        <w:ind w:firstLine="480"/>
        <w:rPr>
          <w:rFonts w:ascii="宋体" w:hAnsi="宋体"/>
        </w:rPr>
      </w:pPr>
      <w:r>
        <w:rPr>
          <w:rFonts w:hint="eastAsia" w:ascii="宋体" w:hAnsi="宋体"/>
        </w:rPr>
        <w:t>通过现状调研、个案收集，分组研究，本课题将整理“现代学徒制”在揭阳捷和职业技术学校试行的过程，以“校企合作”为导线，通过具体的活动实例为依据，整理、分析有关资料，深入了解校企合作、工学结合的现状，深入加强理论学习，进行分析研究，注重各阶段的过程调控，按时撰写阶段性总结。培养优秀研究教师，设计并展示优秀的工作实例。初步探索出中餐烹饪与营养膳食专业试行现代学徒制办学模式研究的实际工作方法与途径。对于已经进行的研究工作进行评估和总结，发现问题并对研究方案进行调整和修订，为进一步深入研究提供科学的依据，完成中期报告。试验验证，进行后续研究，重点是中餐烹饪与营养膳食专业试行现代学徒制办学模式研究的最佳结合点，使两者有机相融共通，以求达到学校与校企合作管理的和谐互促。</w:t>
      </w:r>
    </w:p>
    <w:p>
      <w:pPr>
        <w:ind w:firstLine="482"/>
        <w:rPr>
          <w:b/>
        </w:rPr>
      </w:pPr>
      <w:r>
        <w:rPr>
          <w:rFonts w:hint="eastAsia"/>
          <w:b/>
        </w:rPr>
        <w:t>3.2.5各项竞赛取得优异成绩</w:t>
      </w:r>
    </w:p>
    <w:p>
      <w:pPr>
        <w:ind w:firstLineChars="83"/>
        <w:rPr>
          <w:rFonts w:hint="eastAsia" w:ascii="宋体" w:hAnsi="宋体"/>
          <w:b/>
        </w:rPr>
      </w:pPr>
      <w:r>
        <w:rPr>
          <w:rFonts w:hint="eastAsia" w:ascii="宋体" w:hAnsi="宋体"/>
          <w:b/>
        </w:rPr>
        <w:t>1.</w:t>
      </w:r>
      <w:r>
        <w:rPr>
          <w:rFonts w:ascii="宋体" w:hAnsi="宋体"/>
          <w:b/>
        </w:rPr>
        <w:t>20</w:t>
      </w:r>
      <w:r>
        <w:rPr>
          <w:rFonts w:hint="eastAsia" w:ascii="宋体" w:hAnsi="宋体"/>
          <w:b/>
        </w:rPr>
        <w:t>18</w:t>
      </w:r>
      <w:r>
        <w:rPr>
          <w:rFonts w:ascii="宋体" w:hAnsi="宋体"/>
          <w:b/>
        </w:rPr>
        <w:t>-201</w:t>
      </w:r>
      <w:r>
        <w:rPr>
          <w:rFonts w:hint="eastAsia" w:ascii="宋体" w:hAnsi="宋体"/>
          <w:b/>
        </w:rPr>
        <w:t>9年度广东省中等职业学校技能大赛获奖名单</w:t>
      </w:r>
    </w:p>
    <w:tbl>
      <w:tblPr>
        <w:tblStyle w:val="14"/>
        <w:tblW w:w="9195" w:type="dxa"/>
        <w:tblInd w:w="93" w:type="dxa"/>
        <w:tblLayout w:type="fixed"/>
        <w:tblCellMar>
          <w:top w:w="0" w:type="dxa"/>
          <w:left w:w="108" w:type="dxa"/>
          <w:bottom w:w="0" w:type="dxa"/>
          <w:right w:w="108" w:type="dxa"/>
        </w:tblCellMar>
      </w:tblPr>
      <w:tblGrid>
        <w:gridCol w:w="700"/>
        <w:gridCol w:w="2434"/>
        <w:gridCol w:w="1843"/>
        <w:gridCol w:w="2958"/>
        <w:gridCol w:w="1260"/>
      </w:tblGrid>
      <w:tr>
        <w:tblPrEx>
          <w:tblCellMar>
            <w:top w:w="0" w:type="dxa"/>
            <w:left w:w="108" w:type="dxa"/>
            <w:bottom w:w="0" w:type="dxa"/>
            <w:right w:w="108" w:type="dxa"/>
          </w:tblCellMar>
        </w:tblPrEx>
        <w:trPr>
          <w:trHeight w:val="540" w:hRule="atLeast"/>
        </w:trPr>
        <w:tc>
          <w:tcPr>
            <w:tcW w:w="9195" w:type="dxa"/>
            <w:gridSpan w:val="5"/>
            <w:tcBorders>
              <w:top w:val="nil"/>
              <w:left w:val="nil"/>
              <w:bottom w:val="nil"/>
              <w:right w:val="nil"/>
            </w:tcBorders>
            <w:noWrap/>
            <w:vAlign w:val="center"/>
          </w:tcPr>
          <w:p>
            <w:pPr>
              <w:ind w:firstLine="482"/>
              <w:rPr>
                <w:rFonts w:ascii="宋体" w:hAnsi="宋体"/>
                <w:b/>
              </w:rPr>
            </w:pPr>
            <w:r>
              <w:rPr>
                <w:rFonts w:hint="eastAsia" w:ascii="宋体" w:hAnsi="宋体"/>
                <w:b/>
              </w:rPr>
              <w:t>2018—2019学年度广东省技能竞赛获奖情况统计</w:t>
            </w:r>
          </w:p>
        </w:tc>
      </w:tr>
      <w:tr>
        <w:tblPrEx>
          <w:tblCellMar>
            <w:top w:w="0" w:type="dxa"/>
            <w:left w:w="108" w:type="dxa"/>
            <w:bottom w:w="0" w:type="dxa"/>
            <w:right w:w="108" w:type="dxa"/>
          </w:tblCellMar>
        </w:tblPrEx>
        <w:trPr>
          <w:trHeight w:val="615" w:hRule="atLeast"/>
        </w:trPr>
        <w:tc>
          <w:tcPr>
            <w:tcW w:w="70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rPr>
                <w:rFonts w:ascii="宋体" w:hAnsi="宋体" w:cs="宋体"/>
                <w:b/>
                <w:kern w:val="0"/>
              </w:rPr>
            </w:pPr>
            <w:r>
              <w:rPr>
                <w:rFonts w:hint="eastAsia" w:ascii="宋体" w:hAnsi="宋体" w:cs="宋体"/>
                <w:b/>
                <w:kern w:val="0"/>
              </w:rPr>
              <w:t>序号</w:t>
            </w:r>
          </w:p>
        </w:tc>
        <w:tc>
          <w:tcPr>
            <w:tcW w:w="2434" w:type="dxa"/>
            <w:tcBorders>
              <w:top w:val="single" w:color="auto" w:sz="4" w:space="0"/>
              <w:left w:val="nil"/>
              <w:bottom w:val="single" w:color="auto" w:sz="4" w:space="0"/>
              <w:right w:val="single" w:color="auto" w:sz="4" w:space="0"/>
            </w:tcBorders>
            <w:vAlign w:val="center"/>
          </w:tcPr>
          <w:p>
            <w:pPr>
              <w:widowControl/>
              <w:ind w:firstLineChars="83"/>
              <w:rPr>
                <w:rFonts w:ascii="宋体" w:hAnsi="宋体" w:cs="宋体"/>
                <w:b/>
                <w:kern w:val="0"/>
              </w:rPr>
            </w:pPr>
            <w:r>
              <w:rPr>
                <w:rFonts w:hint="eastAsia" w:ascii="宋体" w:hAnsi="宋体" w:cs="宋体"/>
                <w:b/>
                <w:kern w:val="0"/>
              </w:rPr>
              <w:t>赛项名称</w:t>
            </w:r>
          </w:p>
        </w:tc>
        <w:tc>
          <w:tcPr>
            <w:tcW w:w="1843" w:type="dxa"/>
            <w:tcBorders>
              <w:top w:val="single" w:color="auto" w:sz="4" w:space="0"/>
              <w:left w:val="nil"/>
              <w:bottom w:val="single" w:color="auto" w:sz="4" w:space="0"/>
              <w:right w:val="single" w:color="auto" w:sz="4" w:space="0"/>
            </w:tcBorders>
            <w:vAlign w:val="center"/>
          </w:tcPr>
          <w:p>
            <w:pPr>
              <w:widowControl/>
              <w:ind w:firstLineChars="83"/>
              <w:rPr>
                <w:rFonts w:ascii="宋体" w:hAnsi="宋体" w:cs="宋体"/>
                <w:b/>
                <w:kern w:val="0"/>
              </w:rPr>
            </w:pPr>
            <w:r>
              <w:rPr>
                <w:rFonts w:hint="eastAsia" w:ascii="宋体" w:hAnsi="宋体" w:cs="宋体"/>
                <w:b/>
                <w:kern w:val="0"/>
              </w:rPr>
              <w:t>指导教师</w:t>
            </w:r>
          </w:p>
        </w:tc>
        <w:tc>
          <w:tcPr>
            <w:tcW w:w="2958" w:type="dxa"/>
            <w:tcBorders>
              <w:top w:val="single" w:color="auto" w:sz="4" w:space="0"/>
              <w:left w:val="nil"/>
              <w:bottom w:val="single" w:color="auto" w:sz="4" w:space="0"/>
              <w:right w:val="single" w:color="auto" w:sz="4" w:space="0"/>
            </w:tcBorders>
            <w:vAlign w:val="center"/>
          </w:tcPr>
          <w:p>
            <w:pPr>
              <w:widowControl/>
              <w:ind w:firstLine="482"/>
              <w:jc w:val="center"/>
              <w:rPr>
                <w:rFonts w:ascii="宋体" w:hAnsi="宋体" w:cs="宋体"/>
                <w:b/>
                <w:kern w:val="0"/>
              </w:rPr>
            </w:pPr>
            <w:r>
              <w:rPr>
                <w:rFonts w:hint="eastAsia" w:ascii="宋体" w:hAnsi="宋体" w:cs="宋体"/>
                <w:b/>
                <w:kern w:val="0"/>
              </w:rPr>
              <w:t>参赛学生</w:t>
            </w:r>
          </w:p>
        </w:tc>
        <w:tc>
          <w:tcPr>
            <w:tcW w:w="1260" w:type="dxa"/>
            <w:tcBorders>
              <w:top w:val="single" w:color="auto" w:sz="4" w:space="0"/>
              <w:left w:val="nil"/>
              <w:bottom w:val="single" w:color="auto" w:sz="4" w:space="0"/>
              <w:right w:val="single" w:color="auto" w:sz="4" w:space="0"/>
            </w:tcBorders>
            <w:vAlign w:val="center"/>
          </w:tcPr>
          <w:p>
            <w:pPr>
              <w:widowControl/>
              <w:ind w:firstLine="0" w:firstLineChars="0"/>
              <w:rPr>
                <w:rFonts w:ascii="宋体" w:hAnsi="宋体" w:cs="宋体"/>
                <w:b/>
                <w:kern w:val="0"/>
              </w:rPr>
            </w:pPr>
            <w:r>
              <w:rPr>
                <w:rFonts w:hint="eastAsia" w:ascii="宋体" w:hAnsi="宋体" w:cs="宋体"/>
                <w:b/>
                <w:kern w:val="0"/>
              </w:rPr>
              <w:t>获奖等次</w:t>
            </w:r>
          </w:p>
        </w:tc>
      </w:tr>
      <w:tr>
        <w:tblPrEx>
          <w:tblCellMar>
            <w:top w:w="0" w:type="dxa"/>
            <w:left w:w="108" w:type="dxa"/>
            <w:bottom w:w="0" w:type="dxa"/>
            <w:right w:w="108" w:type="dxa"/>
          </w:tblCellMar>
        </w:tblPrEx>
        <w:trPr>
          <w:trHeight w:val="517" w:hRule="atLeast"/>
        </w:trPr>
        <w:tc>
          <w:tcPr>
            <w:tcW w:w="700" w:type="dxa"/>
            <w:tcBorders>
              <w:top w:val="nil"/>
              <w:left w:val="single" w:color="auto" w:sz="4" w:space="0"/>
              <w:bottom w:val="single" w:color="auto" w:sz="4" w:space="0"/>
              <w:right w:val="single" w:color="auto" w:sz="4" w:space="0"/>
            </w:tcBorders>
            <w:vAlign w:val="center"/>
          </w:tcPr>
          <w:p>
            <w:pPr>
              <w:widowControl/>
              <w:ind w:firstLine="199" w:firstLineChars="83"/>
              <w:jc w:val="center"/>
              <w:rPr>
                <w:rFonts w:hint="eastAsia" w:ascii="宋体" w:hAnsi="宋体" w:cs="宋体"/>
                <w:kern w:val="0"/>
              </w:rPr>
            </w:pPr>
            <w:r>
              <w:rPr>
                <w:rFonts w:hint="eastAsia" w:ascii="宋体" w:hAnsi="宋体" w:cs="宋体"/>
                <w:kern w:val="0"/>
              </w:rPr>
              <w:t>1</w:t>
            </w:r>
          </w:p>
        </w:tc>
        <w:tc>
          <w:tcPr>
            <w:tcW w:w="243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rPr>
            </w:pPr>
            <w:r>
              <w:rPr>
                <w:rFonts w:hint="eastAsia" w:ascii="宋体" w:hAnsi="宋体" w:cs="宋体"/>
                <w:kern w:val="0"/>
              </w:rPr>
              <w:t>动漫设计与制作</w:t>
            </w:r>
          </w:p>
        </w:tc>
        <w:tc>
          <w:tcPr>
            <w:tcW w:w="1843" w:type="dxa"/>
            <w:tcBorders>
              <w:top w:val="nil"/>
              <w:left w:val="nil"/>
              <w:bottom w:val="single" w:color="auto" w:sz="4" w:space="0"/>
              <w:right w:val="single" w:color="auto" w:sz="4" w:space="0"/>
            </w:tcBorders>
            <w:vAlign w:val="center"/>
          </w:tcPr>
          <w:p>
            <w:pPr>
              <w:widowControl/>
              <w:ind w:firstLine="199" w:firstLineChars="83"/>
              <w:jc w:val="center"/>
              <w:rPr>
                <w:rFonts w:ascii="宋体" w:hAnsi="宋体" w:cs="宋体"/>
                <w:kern w:val="0"/>
              </w:rPr>
            </w:pPr>
            <w:r>
              <w:rPr>
                <w:rFonts w:hint="eastAsia" w:ascii="宋体" w:hAnsi="宋体" w:cs="宋体"/>
                <w:kern w:val="0"/>
              </w:rPr>
              <w:t>周婉</w:t>
            </w:r>
          </w:p>
        </w:tc>
        <w:tc>
          <w:tcPr>
            <w:tcW w:w="2958" w:type="dxa"/>
            <w:tcBorders>
              <w:top w:val="nil"/>
              <w:left w:val="nil"/>
              <w:bottom w:val="single" w:color="auto" w:sz="4" w:space="0"/>
              <w:right w:val="single" w:color="auto" w:sz="4" w:space="0"/>
            </w:tcBorders>
            <w:vAlign w:val="center"/>
          </w:tcPr>
          <w:p>
            <w:pPr>
              <w:widowControl/>
              <w:ind w:firstLine="199" w:firstLineChars="83"/>
              <w:jc w:val="center"/>
              <w:rPr>
                <w:rFonts w:ascii="宋体" w:hAnsi="宋体" w:cs="宋体"/>
                <w:kern w:val="0"/>
              </w:rPr>
            </w:pPr>
            <w:r>
              <w:rPr>
                <w:rFonts w:hint="eastAsia" w:ascii="宋体" w:hAnsi="宋体" w:cs="宋体"/>
                <w:kern w:val="0"/>
              </w:rPr>
              <w:t>吴晓强、林桂心</w:t>
            </w:r>
          </w:p>
        </w:tc>
        <w:tc>
          <w:tcPr>
            <w:tcW w:w="126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rPr>
            </w:pPr>
            <w:r>
              <w:rPr>
                <w:rFonts w:hint="eastAsia" w:ascii="宋体" w:hAnsi="宋体" w:cs="宋体"/>
                <w:kern w:val="0"/>
              </w:rPr>
              <w:t>一等奖</w:t>
            </w:r>
          </w:p>
        </w:tc>
      </w:tr>
      <w:tr>
        <w:tblPrEx>
          <w:tblCellMar>
            <w:top w:w="0" w:type="dxa"/>
            <w:left w:w="108" w:type="dxa"/>
            <w:bottom w:w="0" w:type="dxa"/>
            <w:right w:w="108" w:type="dxa"/>
          </w:tblCellMar>
        </w:tblPrEx>
        <w:trPr>
          <w:trHeight w:val="453" w:hRule="atLeast"/>
        </w:trPr>
        <w:tc>
          <w:tcPr>
            <w:tcW w:w="700" w:type="dxa"/>
            <w:tcBorders>
              <w:top w:val="nil"/>
              <w:left w:val="single" w:color="auto" w:sz="4" w:space="0"/>
              <w:bottom w:val="single" w:color="auto" w:sz="4" w:space="0"/>
              <w:right w:val="single" w:color="auto" w:sz="4" w:space="0"/>
            </w:tcBorders>
            <w:vAlign w:val="center"/>
          </w:tcPr>
          <w:p>
            <w:pPr>
              <w:widowControl/>
              <w:ind w:firstLine="199" w:firstLineChars="83"/>
              <w:jc w:val="center"/>
              <w:rPr>
                <w:rFonts w:hint="eastAsia" w:ascii="宋体" w:hAnsi="宋体" w:cs="宋体"/>
                <w:kern w:val="0"/>
              </w:rPr>
            </w:pPr>
            <w:r>
              <w:rPr>
                <w:rFonts w:hint="eastAsia" w:ascii="宋体" w:hAnsi="宋体" w:cs="宋体"/>
                <w:kern w:val="0"/>
              </w:rPr>
              <w:t>2</w:t>
            </w:r>
          </w:p>
        </w:tc>
        <w:tc>
          <w:tcPr>
            <w:tcW w:w="2434" w:type="dxa"/>
            <w:tcBorders>
              <w:top w:val="nil"/>
              <w:left w:val="nil"/>
              <w:bottom w:val="single" w:color="auto" w:sz="4" w:space="0"/>
              <w:right w:val="single" w:color="auto" w:sz="4" w:space="0"/>
            </w:tcBorders>
            <w:vAlign w:val="center"/>
          </w:tcPr>
          <w:p>
            <w:pPr>
              <w:widowControl/>
              <w:ind w:firstLine="199" w:firstLineChars="83"/>
              <w:jc w:val="center"/>
              <w:rPr>
                <w:rFonts w:ascii="宋体" w:hAnsi="宋体" w:cs="宋体"/>
                <w:kern w:val="0"/>
              </w:rPr>
            </w:pPr>
            <w:r>
              <w:rPr>
                <w:rFonts w:hint="eastAsia" w:ascii="宋体" w:hAnsi="宋体" w:cs="宋体"/>
                <w:kern w:val="0"/>
              </w:rPr>
              <w:t>幼儿艺术教育</w:t>
            </w:r>
          </w:p>
        </w:tc>
        <w:tc>
          <w:tcPr>
            <w:tcW w:w="1843" w:type="dxa"/>
            <w:tcBorders>
              <w:top w:val="nil"/>
              <w:left w:val="nil"/>
              <w:bottom w:val="single" w:color="auto" w:sz="4" w:space="0"/>
              <w:right w:val="single" w:color="auto" w:sz="4" w:space="0"/>
            </w:tcBorders>
            <w:vAlign w:val="center"/>
          </w:tcPr>
          <w:p>
            <w:pPr>
              <w:widowControl/>
              <w:ind w:firstLine="199" w:firstLineChars="83"/>
              <w:jc w:val="center"/>
              <w:rPr>
                <w:rFonts w:ascii="宋体" w:hAnsi="宋体" w:cs="宋体"/>
                <w:kern w:val="0"/>
              </w:rPr>
            </w:pPr>
            <w:r>
              <w:rPr>
                <w:rFonts w:hint="eastAsia" w:ascii="宋体" w:hAnsi="宋体" w:cs="宋体"/>
                <w:kern w:val="0"/>
              </w:rPr>
              <w:t>陈芷婷</w:t>
            </w:r>
          </w:p>
        </w:tc>
        <w:tc>
          <w:tcPr>
            <w:tcW w:w="2958" w:type="dxa"/>
            <w:tcBorders>
              <w:top w:val="nil"/>
              <w:left w:val="nil"/>
              <w:bottom w:val="single" w:color="auto" w:sz="4" w:space="0"/>
              <w:right w:val="single" w:color="auto" w:sz="4" w:space="0"/>
            </w:tcBorders>
            <w:vAlign w:val="center"/>
          </w:tcPr>
          <w:p>
            <w:pPr>
              <w:widowControl/>
              <w:ind w:firstLine="199" w:firstLineChars="83"/>
              <w:jc w:val="center"/>
              <w:rPr>
                <w:rFonts w:ascii="宋体" w:hAnsi="宋体" w:cs="宋体"/>
                <w:kern w:val="0"/>
              </w:rPr>
            </w:pPr>
            <w:r>
              <w:rPr>
                <w:rFonts w:hint="eastAsia" w:ascii="宋体" w:hAnsi="宋体" w:cs="宋体"/>
                <w:kern w:val="0"/>
              </w:rPr>
              <w:t>黄小丫</w:t>
            </w:r>
          </w:p>
        </w:tc>
        <w:tc>
          <w:tcPr>
            <w:tcW w:w="126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rPr>
            </w:pPr>
            <w:r>
              <w:rPr>
                <w:rFonts w:hint="eastAsia" w:ascii="宋体" w:hAnsi="宋体" w:cs="宋体"/>
                <w:kern w:val="0"/>
              </w:rPr>
              <w:t>二等奖</w:t>
            </w:r>
          </w:p>
        </w:tc>
      </w:tr>
      <w:tr>
        <w:tblPrEx>
          <w:tblCellMar>
            <w:top w:w="0" w:type="dxa"/>
            <w:left w:w="108" w:type="dxa"/>
            <w:bottom w:w="0" w:type="dxa"/>
            <w:right w:w="108" w:type="dxa"/>
          </w:tblCellMar>
        </w:tblPrEx>
        <w:trPr>
          <w:trHeight w:val="510" w:hRule="atLeast"/>
        </w:trPr>
        <w:tc>
          <w:tcPr>
            <w:tcW w:w="700" w:type="dxa"/>
            <w:tcBorders>
              <w:top w:val="nil"/>
              <w:left w:val="single" w:color="auto" w:sz="4" w:space="0"/>
              <w:bottom w:val="single" w:color="auto" w:sz="4" w:space="0"/>
              <w:right w:val="single" w:color="auto" w:sz="4" w:space="0"/>
            </w:tcBorders>
            <w:vAlign w:val="center"/>
          </w:tcPr>
          <w:p>
            <w:pPr>
              <w:widowControl/>
              <w:ind w:firstLine="199" w:firstLineChars="83"/>
              <w:jc w:val="center"/>
              <w:rPr>
                <w:rFonts w:ascii="宋体" w:hAnsi="宋体" w:cs="宋体"/>
                <w:kern w:val="0"/>
              </w:rPr>
            </w:pPr>
            <w:r>
              <w:rPr>
                <w:rFonts w:hint="eastAsia" w:ascii="宋体" w:hAnsi="宋体" w:cs="宋体"/>
                <w:kern w:val="0"/>
              </w:rPr>
              <w:t>3</w:t>
            </w:r>
          </w:p>
        </w:tc>
        <w:tc>
          <w:tcPr>
            <w:tcW w:w="243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计算机检测与数据恢复</w:t>
            </w:r>
          </w:p>
        </w:tc>
        <w:tc>
          <w:tcPr>
            <w:tcW w:w="1843"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rPr>
            </w:pPr>
            <w:r>
              <w:rPr>
                <w:rFonts w:hint="eastAsia" w:ascii="宋体" w:hAnsi="宋体" w:cs="宋体"/>
                <w:kern w:val="0"/>
              </w:rPr>
              <w:t>方概惠、吴小敏</w:t>
            </w:r>
          </w:p>
        </w:tc>
        <w:tc>
          <w:tcPr>
            <w:tcW w:w="2958" w:type="dxa"/>
            <w:tcBorders>
              <w:top w:val="nil"/>
              <w:left w:val="nil"/>
              <w:bottom w:val="single" w:color="auto" w:sz="4" w:space="0"/>
              <w:right w:val="single" w:color="auto" w:sz="4" w:space="0"/>
            </w:tcBorders>
            <w:vAlign w:val="center"/>
          </w:tcPr>
          <w:p>
            <w:pPr>
              <w:widowControl/>
              <w:ind w:firstLine="199" w:firstLineChars="83"/>
              <w:jc w:val="center"/>
              <w:rPr>
                <w:rFonts w:ascii="宋体" w:hAnsi="宋体" w:cs="宋体"/>
                <w:kern w:val="0"/>
              </w:rPr>
            </w:pPr>
            <w:r>
              <w:rPr>
                <w:rFonts w:hint="eastAsia" w:ascii="宋体" w:hAnsi="宋体" w:cs="宋体"/>
                <w:kern w:val="0"/>
              </w:rPr>
              <w:t>林梓佳、林梓豪</w:t>
            </w:r>
          </w:p>
        </w:tc>
        <w:tc>
          <w:tcPr>
            <w:tcW w:w="126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rPr>
            </w:pPr>
            <w:r>
              <w:rPr>
                <w:rFonts w:hint="eastAsia" w:ascii="宋体" w:hAnsi="宋体" w:cs="宋体"/>
                <w:kern w:val="0"/>
              </w:rPr>
              <w:t>三等奖</w:t>
            </w:r>
          </w:p>
        </w:tc>
      </w:tr>
      <w:tr>
        <w:tblPrEx>
          <w:tblCellMar>
            <w:top w:w="0" w:type="dxa"/>
            <w:left w:w="108" w:type="dxa"/>
            <w:bottom w:w="0" w:type="dxa"/>
            <w:right w:w="108" w:type="dxa"/>
          </w:tblCellMar>
        </w:tblPrEx>
        <w:trPr>
          <w:trHeight w:val="510" w:hRule="atLeast"/>
        </w:trPr>
        <w:tc>
          <w:tcPr>
            <w:tcW w:w="700" w:type="dxa"/>
            <w:tcBorders>
              <w:top w:val="nil"/>
              <w:left w:val="single" w:color="auto" w:sz="4" w:space="0"/>
              <w:bottom w:val="single" w:color="auto" w:sz="4" w:space="0"/>
              <w:right w:val="single" w:color="auto" w:sz="4" w:space="0"/>
            </w:tcBorders>
            <w:vAlign w:val="center"/>
          </w:tcPr>
          <w:p>
            <w:pPr>
              <w:widowControl/>
              <w:ind w:firstLine="199" w:firstLineChars="83"/>
              <w:jc w:val="center"/>
              <w:rPr>
                <w:rFonts w:ascii="宋体" w:hAnsi="宋体" w:cs="宋体"/>
                <w:kern w:val="0"/>
              </w:rPr>
            </w:pPr>
            <w:r>
              <w:rPr>
                <w:rFonts w:hint="eastAsia" w:ascii="宋体" w:hAnsi="宋体" w:cs="宋体"/>
                <w:kern w:val="0"/>
              </w:rPr>
              <w:t>4</w:t>
            </w:r>
          </w:p>
        </w:tc>
        <w:tc>
          <w:tcPr>
            <w:tcW w:w="2434" w:type="dxa"/>
            <w:tcBorders>
              <w:top w:val="nil"/>
              <w:left w:val="nil"/>
              <w:bottom w:val="single" w:color="auto" w:sz="4" w:space="0"/>
              <w:right w:val="single" w:color="auto" w:sz="4" w:space="0"/>
            </w:tcBorders>
            <w:vAlign w:val="center"/>
          </w:tcPr>
          <w:p>
            <w:pPr>
              <w:widowControl/>
              <w:ind w:firstLine="199" w:firstLineChars="83"/>
              <w:jc w:val="center"/>
              <w:rPr>
                <w:rFonts w:ascii="宋体" w:hAnsi="宋体" w:cs="宋体"/>
                <w:kern w:val="0"/>
              </w:rPr>
            </w:pPr>
            <w:r>
              <w:rPr>
                <w:rFonts w:hint="eastAsia" w:ascii="宋体" w:hAnsi="宋体" w:cs="宋体"/>
                <w:kern w:val="0"/>
              </w:rPr>
              <w:t>弹拨乐器</w:t>
            </w:r>
          </w:p>
        </w:tc>
        <w:tc>
          <w:tcPr>
            <w:tcW w:w="1843"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rPr>
            </w:pPr>
            <w:r>
              <w:rPr>
                <w:rFonts w:hint="eastAsia" w:ascii="宋体" w:hAnsi="宋体" w:cs="宋体"/>
                <w:kern w:val="0"/>
              </w:rPr>
              <w:t>许清清</w:t>
            </w:r>
          </w:p>
        </w:tc>
        <w:tc>
          <w:tcPr>
            <w:tcW w:w="2958" w:type="dxa"/>
            <w:tcBorders>
              <w:top w:val="nil"/>
              <w:left w:val="nil"/>
              <w:bottom w:val="single" w:color="auto" w:sz="4" w:space="0"/>
              <w:right w:val="single" w:color="auto" w:sz="4" w:space="0"/>
            </w:tcBorders>
            <w:vAlign w:val="center"/>
          </w:tcPr>
          <w:p>
            <w:pPr>
              <w:widowControl/>
              <w:ind w:firstLine="199" w:firstLineChars="83"/>
              <w:jc w:val="center"/>
              <w:rPr>
                <w:rFonts w:ascii="宋体" w:hAnsi="宋体" w:cs="宋体"/>
                <w:kern w:val="0"/>
              </w:rPr>
            </w:pPr>
            <w:r>
              <w:rPr>
                <w:rFonts w:hint="eastAsia" w:ascii="宋体" w:hAnsi="宋体" w:cs="宋体"/>
                <w:kern w:val="0"/>
              </w:rPr>
              <w:t>李娅婷</w:t>
            </w:r>
          </w:p>
        </w:tc>
        <w:tc>
          <w:tcPr>
            <w:tcW w:w="126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rPr>
            </w:pPr>
            <w:r>
              <w:rPr>
                <w:rFonts w:hint="eastAsia" w:ascii="宋体" w:hAnsi="宋体" w:cs="宋体"/>
                <w:kern w:val="0"/>
              </w:rPr>
              <w:t>三等奖</w:t>
            </w:r>
          </w:p>
        </w:tc>
      </w:tr>
      <w:tr>
        <w:tblPrEx>
          <w:tblCellMar>
            <w:top w:w="0" w:type="dxa"/>
            <w:left w:w="108" w:type="dxa"/>
            <w:bottom w:w="0" w:type="dxa"/>
            <w:right w:w="108" w:type="dxa"/>
          </w:tblCellMar>
        </w:tblPrEx>
        <w:trPr>
          <w:trHeight w:val="510" w:hRule="atLeast"/>
        </w:trPr>
        <w:tc>
          <w:tcPr>
            <w:tcW w:w="700" w:type="dxa"/>
            <w:tcBorders>
              <w:top w:val="nil"/>
              <w:left w:val="single" w:color="auto" w:sz="4" w:space="0"/>
              <w:bottom w:val="single" w:color="auto" w:sz="4" w:space="0"/>
              <w:right w:val="single" w:color="auto" w:sz="4" w:space="0"/>
            </w:tcBorders>
            <w:vAlign w:val="center"/>
          </w:tcPr>
          <w:p>
            <w:pPr>
              <w:widowControl/>
              <w:ind w:firstLine="199" w:firstLineChars="83"/>
              <w:jc w:val="center"/>
              <w:rPr>
                <w:rFonts w:ascii="宋体" w:hAnsi="宋体" w:cs="宋体"/>
                <w:kern w:val="0"/>
              </w:rPr>
            </w:pPr>
            <w:r>
              <w:rPr>
                <w:rFonts w:hint="eastAsia" w:ascii="宋体" w:hAnsi="宋体" w:cs="宋体"/>
                <w:kern w:val="0"/>
              </w:rPr>
              <w:t>5</w:t>
            </w:r>
          </w:p>
        </w:tc>
        <w:tc>
          <w:tcPr>
            <w:tcW w:w="243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rPr>
            </w:pPr>
            <w:r>
              <w:rPr>
                <w:rFonts w:hint="eastAsia" w:ascii="宋体" w:hAnsi="宋体" w:cs="宋体"/>
                <w:kern w:val="0"/>
              </w:rPr>
              <w:t>数控综合应用技术</w:t>
            </w:r>
          </w:p>
        </w:tc>
        <w:tc>
          <w:tcPr>
            <w:tcW w:w="1843"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rPr>
            </w:pPr>
            <w:r>
              <w:rPr>
                <w:rFonts w:hint="eastAsia" w:ascii="宋体" w:hAnsi="宋体" w:cs="宋体"/>
                <w:kern w:val="0"/>
              </w:rPr>
              <w:t>叶相杰、朱昌福</w:t>
            </w:r>
          </w:p>
        </w:tc>
        <w:tc>
          <w:tcPr>
            <w:tcW w:w="295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rPr>
            </w:pPr>
            <w:r>
              <w:rPr>
                <w:rFonts w:hint="eastAsia" w:ascii="宋体" w:hAnsi="宋体" w:cs="宋体"/>
                <w:kern w:val="0"/>
              </w:rPr>
              <w:t>陈银佳、杨加超、方泽鑫</w:t>
            </w:r>
          </w:p>
        </w:tc>
        <w:tc>
          <w:tcPr>
            <w:tcW w:w="126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rPr>
            </w:pPr>
            <w:r>
              <w:rPr>
                <w:rFonts w:hint="eastAsia" w:ascii="宋体" w:hAnsi="宋体" w:cs="宋体"/>
                <w:kern w:val="0"/>
              </w:rPr>
              <w:t>三等奖</w:t>
            </w:r>
          </w:p>
        </w:tc>
      </w:tr>
      <w:tr>
        <w:tblPrEx>
          <w:tblCellMar>
            <w:top w:w="0" w:type="dxa"/>
            <w:left w:w="108" w:type="dxa"/>
            <w:bottom w:w="0" w:type="dxa"/>
            <w:right w:w="108" w:type="dxa"/>
          </w:tblCellMar>
        </w:tblPrEx>
        <w:trPr>
          <w:trHeight w:val="510" w:hRule="atLeast"/>
        </w:trPr>
        <w:tc>
          <w:tcPr>
            <w:tcW w:w="700" w:type="dxa"/>
            <w:tcBorders>
              <w:top w:val="nil"/>
              <w:left w:val="single" w:color="auto" w:sz="4" w:space="0"/>
              <w:bottom w:val="single" w:color="auto" w:sz="4" w:space="0"/>
              <w:right w:val="single" w:color="auto" w:sz="4" w:space="0"/>
            </w:tcBorders>
            <w:vAlign w:val="center"/>
          </w:tcPr>
          <w:p>
            <w:pPr>
              <w:widowControl/>
              <w:ind w:firstLine="199" w:firstLineChars="83"/>
              <w:jc w:val="center"/>
              <w:rPr>
                <w:rFonts w:ascii="宋体" w:hAnsi="宋体" w:cs="宋体"/>
                <w:kern w:val="0"/>
              </w:rPr>
            </w:pPr>
            <w:r>
              <w:rPr>
                <w:rFonts w:hint="eastAsia" w:ascii="宋体" w:hAnsi="宋体" w:cs="宋体"/>
                <w:kern w:val="0"/>
              </w:rPr>
              <w:t>6</w:t>
            </w:r>
          </w:p>
        </w:tc>
        <w:tc>
          <w:tcPr>
            <w:tcW w:w="243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rPr>
            </w:pPr>
            <w:r>
              <w:rPr>
                <w:rFonts w:hint="eastAsia" w:ascii="宋体" w:hAnsi="宋体" w:cs="宋体"/>
                <w:kern w:val="0"/>
              </w:rPr>
              <w:t>幼儿园活动设计</w:t>
            </w:r>
          </w:p>
        </w:tc>
        <w:tc>
          <w:tcPr>
            <w:tcW w:w="1843"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rPr>
            </w:pPr>
            <w:r>
              <w:rPr>
                <w:rFonts w:hint="eastAsia" w:ascii="宋体" w:hAnsi="宋体" w:cs="宋体"/>
                <w:kern w:val="0"/>
              </w:rPr>
              <w:t>陈思曼、郑丽</w:t>
            </w:r>
          </w:p>
        </w:tc>
        <w:tc>
          <w:tcPr>
            <w:tcW w:w="295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rPr>
            </w:pPr>
            <w:r>
              <w:rPr>
                <w:rFonts w:hint="eastAsia" w:ascii="宋体" w:hAnsi="宋体" w:cs="宋体"/>
                <w:kern w:val="0"/>
              </w:rPr>
              <w:t>黄四漫、陈卓欢、林清阳</w:t>
            </w:r>
          </w:p>
        </w:tc>
        <w:tc>
          <w:tcPr>
            <w:tcW w:w="126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rPr>
            </w:pPr>
            <w:r>
              <w:rPr>
                <w:rFonts w:hint="eastAsia" w:ascii="宋体" w:hAnsi="宋体" w:cs="宋体"/>
                <w:kern w:val="0"/>
              </w:rPr>
              <w:t>三等奖</w:t>
            </w:r>
          </w:p>
        </w:tc>
      </w:tr>
      <w:tr>
        <w:tblPrEx>
          <w:tblCellMar>
            <w:top w:w="0" w:type="dxa"/>
            <w:left w:w="108" w:type="dxa"/>
            <w:bottom w:w="0" w:type="dxa"/>
            <w:right w:w="108" w:type="dxa"/>
          </w:tblCellMar>
        </w:tblPrEx>
        <w:trPr>
          <w:trHeight w:val="510" w:hRule="atLeast"/>
        </w:trPr>
        <w:tc>
          <w:tcPr>
            <w:tcW w:w="700" w:type="dxa"/>
            <w:tcBorders>
              <w:top w:val="nil"/>
              <w:left w:val="single" w:color="auto" w:sz="4" w:space="0"/>
              <w:bottom w:val="single" w:color="auto" w:sz="4" w:space="0"/>
              <w:right w:val="single" w:color="auto" w:sz="4" w:space="0"/>
            </w:tcBorders>
            <w:vAlign w:val="center"/>
          </w:tcPr>
          <w:p>
            <w:pPr>
              <w:widowControl/>
              <w:ind w:firstLine="199" w:firstLineChars="83"/>
              <w:jc w:val="center"/>
              <w:rPr>
                <w:rFonts w:ascii="宋体" w:hAnsi="宋体" w:cs="宋体"/>
                <w:kern w:val="0"/>
              </w:rPr>
            </w:pPr>
            <w:r>
              <w:rPr>
                <w:rFonts w:hint="eastAsia" w:ascii="宋体" w:hAnsi="宋体" w:cs="宋体"/>
                <w:kern w:val="0"/>
              </w:rPr>
              <w:t>7</w:t>
            </w:r>
          </w:p>
        </w:tc>
        <w:tc>
          <w:tcPr>
            <w:tcW w:w="2434" w:type="dxa"/>
            <w:tcBorders>
              <w:top w:val="nil"/>
              <w:left w:val="nil"/>
              <w:bottom w:val="single" w:color="auto" w:sz="4" w:space="0"/>
              <w:right w:val="single" w:color="auto" w:sz="4" w:space="0"/>
            </w:tcBorders>
            <w:vAlign w:val="center"/>
          </w:tcPr>
          <w:p>
            <w:pPr>
              <w:widowControl/>
              <w:ind w:firstLine="199" w:firstLineChars="83"/>
              <w:jc w:val="center"/>
              <w:rPr>
                <w:rFonts w:ascii="宋体" w:hAnsi="宋体" w:cs="宋体"/>
                <w:kern w:val="0"/>
              </w:rPr>
            </w:pPr>
            <w:r>
              <w:rPr>
                <w:rFonts w:hint="eastAsia" w:ascii="宋体" w:hAnsi="宋体" w:cs="宋体"/>
                <w:kern w:val="0"/>
              </w:rPr>
              <w:t>出纳技能</w:t>
            </w:r>
          </w:p>
        </w:tc>
        <w:tc>
          <w:tcPr>
            <w:tcW w:w="1843"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rPr>
            </w:pPr>
            <w:r>
              <w:rPr>
                <w:rFonts w:hint="eastAsia" w:ascii="宋体" w:hAnsi="宋体" w:cs="宋体"/>
                <w:kern w:val="0"/>
              </w:rPr>
              <w:t>刘洁纯</w:t>
            </w:r>
          </w:p>
        </w:tc>
        <w:tc>
          <w:tcPr>
            <w:tcW w:w="2958" w:type="dxa"/>
            <w:tcBorders>
              <w:top w:val="nil"/>
              <w:left w:val="nil"/>
              <w:bottom w:val="single" w:color="auto" w:sz="4" w:space="0"/>
              <w:right w:val="single" w:color="auto" w:sz="4" w:space="0"/>
            </w:tcBorders>
            <w:vAlign w:val="center"/>
          </w:tcPr>
          <w:p>
            <w:pPr>
              <w:widowControl/>
              <w:ind w:firstLine="199" w:firstLineChars="83"/>
              <w:jc w:val="center"/>
              <w:rPr>
                <w:rFonts w:ascii="宋体" w:hAnsi="宋体" w:cs="宋体"/>
                <w:kern w:val="0"/>
              </w:rPr>
            </w:pPr>
            <w:r>
              <w:rPr>
                <w:rFonts w:hint="eastAsia" w:ascii="宋体" w:hAnsi="宋体" w:cs="宋体"/>
                <w:kern w:val="0"/>
              </w:rPr>
              <w:t>黄洁漫</w:t>
            </w:r>
          </w:p>
        </w:tc>
        <w:tc>
          <w:tcPr>
            <w:tcW w:w="126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rPr>
            </w:pPr>
            <w:r>
              <w:rPr>
                <w:rFonts w:hint="eastAsia" w:ascii="宋体" w:hAnsi="宋体" w:cs="宋体"/>
                <w:kern w:val="0"/>
              </w:rPr>
              <w:t>三等奖</w:t>
            </w:r>
          </w:p>
        </w:tc>
      </w:tr>
      <w:tr>
        <w:tblPrEx>
          <w:tblCellMar>
            <w:top w:w="0" w:type="dxa"/>
            <w:left w:w="108" w:type="dxa"/>
            <w:bottom w:w="0" w:type="dxa"/>
            <w:right w:w="108" w:type="dxa"/>
          </w:tblCellMar>
        </w:tblPrEx>
        <w:trPr>
          <w:trHeight w:val="510" w:hRule="atLeast"/>
        </w:trPr>
        <w:tc>
          <w:tcPr>
            <w:tcW w:w="700" w:type="dxa"/>
            <w:tcBorders>
              <w:top w:val="nil"/>
              <w:left w:val="single" w:color="auto" w:sz="4" w:space="0"/>
              <w:bottom w:val="single" w:color="auto" w:sz="4" w:space="0"/>
              <w:right w:val="single" w:color="auto" w:sz="4" w:space="0"/>
            </w:tcBorders>
            <w:vAlign w:val="center"/>
          </w:tcPr>
          <w:p>
            <w:pPr>
              <w:widowControl/>
              <w:ind w:firstLine="199" w:firstLineChars="83"/>
              <w:jc w:val="center"/>
              <w:rPr>
                <w:rFonts w:ascii="宋体" w:hAnsi="宋体" w:cs="宋体"/>
                <w:kern w:val="0"/>
              </w:rPr>
            </w:pPr>
            <w:r>
              <w:rPr>
                <w:rFonts w:hint="eastAsia" w:ascii="宋体" w:hAnsi="宋体" w:cs="宋体"/>
                <w:kern w:val="0"/>
              </w:rPr>
              <w:t>8</w:t>
            </w:r>
          </w:p>
        </w:tc>
        <w:tc>
          <w:tcPr>
            <w:tcW w:w="243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艺术专业技能（中国舞表演）</w:t>
            </w:r>
          </w:p>
        </w:tc>
        <w:tc>
          <w:tcPr>
            <w:tcW w:w="1843"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rPr>
            </w:pPr>
            <w:r>
              <w:rPr>
                <w:rFonts w:hint="eastAsia" w:ascii="宋体" w:hAnsi="宋体" w:cs="宋体"/>
                <w:kern w:val="0"/>
              </w:rPr>
              <w:t>陈芷婷</w:t>
            </w:r>
          </w:p>
        </w:tc>
        <w:tc>
          <w:tcPr>
            <w:tcW w:w="2958" w:type="dxa"/>
            <w:tcBorders>
              <w:top w:val="nil"/>
              <w:left w:val="nil"/>
              <w:bottom w:val="single" w:color="auto" w:sz="4" w:space="0"/>
              <w:right w:val="single" w:color="auto" w:sz="4" w:space="0"/>
            </w:tcBorders>
            <w:vAlign w:val="center"/>
          </w:tcPr>
          <w:p>
            <w:pPr>
              <w:widowControl/>
              <w:ind w:firstLine="199" w:firstLineChars="83"/>
              <w:jc w:val="center"/>
              <w:rPr>
                <w:rFonts w:ascii="宋体" w:hAnsi="宋体" w:cs="宋体"/>
                <w:kern w:val="0"/>
              </w:rPr>
            </w:pPr>
            <w:r>
              <w:rPr>
                <w:rFonts w:hint="eastAsia" w:ascii="宋体" w:hAnsi="宋体" w:cs="宋体"/>
                <w:kern w:val="0"/>
              </w:rPr>
              <w:t>黄小丫</w:t>
            </w:r>
          </w:p>
        </w:tc>
        <w:tc>
          <w:tcPr>
            <w:tcW w:w="126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rPr>
            </w:pPr>
            <w:r>
              <w:rPr>
                <w:rFonts w:hint="eastAsia" w:ascii="宋体" w:hAnsi="宋体" w:cs="宋体"/>
                <w:kern w:val="0"/>
              </w:rPr>
              <w:t>三等奖</w:t>
            </w:r>
          </w:p>
        </w:tc>
      </w:tr>
    </w:tbl>
    <w:p>
      <w:pPr>
        <w:ind w:firstLine="480"/>
        <w:rPr>
          <w:rFonts w:hint="eastAsia" w:ascii="宋体" w:hAnsi="宋体"/>
        </w:rPr>
      </w:pPr>
      <w:r>
        <w:rPr>
          <w:rFonts w:hint="eastAsia" w:ascii="宋体" w:hAnsi="宋体"/>
        </w:rPr>
        <w:t>2018-2019年度广东省技能竞赛，我校参赛项目14个，两个项目最后没有完成参赛。今年总共获奖项目8个，参赛获奖率61.5%。2017—2018学年度参赛项目是20个，获奖项目6个，参赛获奖率33.3%。两年相比较，今年在参赛项目减少的情况下，参赛获奖个数和获奖率都得到很大提升。相比较去年的比赛成绩，我校今年参赛各项目成绩平均主要处于中游水平，像动漫设计与制作竞赛已经连续两年获得一等奖，成绩稳定在全省参赛学校的前十名。艺术教育成绩稳定，每年参赛均在中游或中上游水平。今年第一次参赛的出纳技能和数控综合应用技术成绩都较为不错。接下来将加紧对各项目的情况开展总结，力保明年成绩更上一个台阶。</w:t>
      </w:r>
    </w:p>
    <w:tbl>
      <w:tblPr>
        <w:tblStyle w:val="14"/>
        <w:tblW w:w="9380" w:type="dxa"/>
        <w:tblInd w:w="93" w:type="dxa"/>
        <w:tblLayout w:type="fixed"/>
        <w:tblCellMar>
          <w:top w:w="0" w:type="dxa"/>
          <w:left w:w="108" w:type="dxa"/>
          <w:bottom w:w="0" w:type="dxa"/>
          <w:right w:w="108" w:type="dxa"/>
        </w:tblCellMar>
      </w:tblPr>
      <w:tblGrid>
        <w:gridCol w:w="706"/>
        <w:gridCol w:w="1184"/>
        <w:gridCol w:w="1124"/>
        <w:gridCol w:w="794"/>
        <w:gridCol w:w="1540"/>
        <w:gridCol w:w="2458"/>
        <w:gridCol w:w="1574"/>
      </w:tblGrid>
      <w:tr>
        <w:tblPrEx>
          <w:tblCellMar>
            <w:top w:w="0" w:type="dxa"/>
            <w:left w:w="108" w:type="dxa"/>
            <w:bottom w:w="0" w:type="dxa"/>
            <w:right w:w="108" w:type="dxa"/>
          </w:tblCellMar>
        </w:tblPrEx>
        <w:trPr>
          <w:trHeight w:val="480" w:hRule="atLeast"/>
        </w:trPr>
        <w:tc>
          <w:tcPr>
            <w:tcW w:w="9380" w:type="dxa"/>
            <w:gridSpan w:val="7"/>
            <w:tcBorders>
              <w:top w:val="nil"/>
              <w:left w:val="nil"/>
              <w:bottom w:val="single" w:color="auto" w:sz="4" w:space="0"/>
              <w:right w:val="nil"/>
            </w:tcBorders>
            <w:noWrap/>
            <w:vAlign w:val="center"/>
          </w:tcPr>
          <w:p>
            <w:pPr>
              <w:ind w:firstLine="482"/>
              <w:rPr>
                <w:rFonts w:hint="eastAsia" w:ascii="宋体" w:hAnsi="宋体"/>
                <w:b/>
              </w:rPr>
            </w:pPr>
            <w:r>
              <w:rPr>
                <w:rFonts w:hint="eastAsia" w:ascii="宋体" w:hAnsi="宋体"/>
                <w:b/>
              </w:rPr>
              <w:t>2.参加2018-2019年度“新时代好少年”广东青少年书画摄影大赛（获奖情况未公布）</w:t>
            </w:r>
          </w:p>
          <w:p>
            <w:pPr>
              <w:ind w:firstLine="482"/>
              <w:rPr>
                <w:rFonts w:ascii="宋体" w:hAnsi="宋体"/>
              </w:rPr>
            </w:pPr>
            <w:r>
              <w:rPr>
                <w:rFonts w:hint="eastAsia" w:ascii="宋体" w:hAnsi="宋体"/>
                <w:b/>
              </w:rPr>
              <w:t>2018-2019年度“新时代好少年”广东青少年书画摄影大赛名单</w:t>
            </w:r>
          </w:p>
        </w:tc>
      </w:tr>
      <w:tr>
        <w:tblPrEx>
          <w:tblCellMar>
            <w:top w:w="0" w:type="dxa"/>
            <w:left w:w="108" w:type="dxa"/>
            <w:bottom w:w="0" w:type="dxa"/>
            <w:right w:w="108" w:type="dxa"/>
          </w:tblCellMar>
        </w:tblPrEx>
        <w:trPr>
          <w:trHeight w:val="600" w:hRule="atLeast"/>
        </w:trPr>
        <w:tc>
          <w:tcPr>
            <w:tcW w:w="706" w:type="dxa"/>
            <w:tcBorders>
              <w:top w:val="nil"/>
              <w:left w:val="single" w:color="auto" w:sz="4" w:space="0"/>
              <w:bottom w:val="single" w:color="auto" w:sz="4" w:space="0"/>
              <w:right w:val="single" w:color="auto" w:sz="4" w:space="0"/>
            </w:tcBorders>
            <w:noWrap/>
            <w:vAlign w:val="center"/>
          </w:tcPr>
          <w:p>
            <w:pPr>
              <w:widowControl/>
              <w:ind w:firstLine="0" w:firstLineChars="0"/>
              <w:jc w:val="center"/>
              <w:rPr>
                <w:rFonts w:ascii="宋体" w:hAnsi="宋体" w:cs="宋体"/>
                <w:b/>
                <w:kern w:val="0"/>
                <w:sz w:val="22"/>
                <w:szCs w:val="22"/>
              </w:rPr>
            </w:pPr>
            <w:r>
              <w:rPr>
                <w:rFonts w:hint="eastAsia" w:ascii="宋体" w:hAnsi="宋体" w:cs="宋体"/>
                <w:b/>
                <w:kern w:val="0"/>
                <w:sz w:val="22"/>
                <w:szCs w:val="22"/>
              </w:rPr>
              <w:t>序号</w:t>
            </w:r>
          </w:p>
        </w:tc>
        <w:tc>
          <w:tcPr>
            <w:tcW w:w="118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b/>
                <w:kern w:val="0"/>
                <w:sz w:val="21"/>
                <w:szCs w:val="21"/>
              </w:rPr>
            </w:pPr>
            <w:r>
              <w:rPr>
                <w:rFonts w:hint="eastAsia" w:ascii="宋体" w:hAnsi="宋体" w:cs="宋体"/>
                <w:b/>
                <w:kern w:val="0"/>
                <w:sz w:val="21"/>
                <w:szCs w:val="21"/>
              </w:rPr>
              <w:t>作品序号</w:t>
            </w:r>
          </w:p>
        </w:tc>
        <w:tc>
          <w:tcPr>
            <w:tcW w:w="112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b/>
                <w:kern w:val="0"/>
                <w:szCs w:val="21"/>
              </w:rPr>
            </w:pPr>
            <w:r>
              <w:rPr>
                <w:rFonts w:hint="eastAsia" w:ascii="宋体" w:hAnsi="宋体" w:cs="宋体"/>
                <w:b/>
                <w:kern w:val="0"/>
                <w:szCs w:val="21"/>
              </w:rPr>
              <w:t>作者</w:t>
            </w:r>
          </w:p>
        </w:tc>
        <w:tc>
          <w:tcPr>
            <w:tcW w:w="79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b/>
                <w:kern w:val="0"/>
                <w:szCs w:val="21"/>
              </w:rPr>
            </w:pPr>
            <w:r>
              <w:rPr>
                <w:rFonts w:hint="eastAsia" w:ascii="宋体" w:hAnsi="宋体" w:cs="宋体"/>
                <w:b/>
                <w:kern w:val="0"/>
                <w:szCs w:val="21"/>
              </w:rPr>
              <w:t>年龄</w:t>
            </w:r>
          </w:p>
        </w:tc>
        <w:tc>
          <w:tcPr>
            <w:tcW w:w="1540" w:type="dxa"/>
            <w:tcBorders>
              <w:top w:val="nil"/>
              <w:left w:val="nil"/>
              <w:bottom w:val="single" w:color="auto" w:sz="4" w:space="0"/>
              <w:right w:val="single" w:color="auto" w:sz="4" w:space="0"/>
            </w:tcBorders>
            <w:vAlign w:val="center"/>
          </w:tcPr>
          <w:p>
            <w:pPr>
              <w:widowControl/>
              <w:ind w:firstLineChars="83"/>
              <w:jc w:val="center"/>
              <w:rPr>
                <w:rFonts w:ascii="宋体" w:hAnsi="宋体" w:cs="宋体"/>
                <w:b/>
                <w:kern w:val="0"/>
                <w:szCs w:val="21"/>
              </w:rPr>
            </w:pPr>
            <w:r>
              <w:rPr>
                <w:rFonts w:hint="eastAsia" w:ascii="宋体" w:hAnsi="宋体" w:cs="宋体"/>
                <w:b/>
                <w:kern w:val="0"/>
                <w:szCs w:val="21"/>
              </w:rPr>
              <w:t>班别</w:t>
            </w:r>
          </w:p>
        </w:tc>
        <w:tc>
          <w:tcPr>
            <w:tcW w:w="2458" w:type="dxa"/>
            <w:tcBorders>
              <w:top w:val="nil"/>
              <w:left w:val="nil"/>
              <w:bottom w:val="single" w:color="auto" w:sz="4" w:space="0"/>
              <w:right w:val="single" w:color="auto" w:sz="4" w:space="0"/>
            </w:tcBorders>
            <w:vAlign w:val="center"/>
          </w:tcPr>
          <w:p>
            <w:pPr>
              <w:widowControl/>
              <w:ind w:firstLineChars="83"/>
              <w:jc w:val="center"/>
              <w:rPr>
                <w:rFonts w:ascii="宋体" w:hAnsi="宋体" w:cs="宋体"/>
                <w:b/>
                <w:kern w:val="0"/>
                <w:szCs w:val="21"/>
              </w:rPr>
            </w:pPr>
            <w:r>
              <w:rPr>
                <w:rFonts w:hint="eastAsia" w:ascii="宋体" w:hAnsi="宋体" w:cs="宋体"/>
                <w:b/>
                <w:kern w:val="0"/>
                <w:szCs w:val="21"/>
              </w:rPr>
              <w:t>作品名称</w:t>
            </w:r>
          </w:p>
        </w:tc>
        <w:tc>
          <w:tcPr>
            <w:tcW w:w="157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b/>
                <w:kern w:val="0"/>
                <w:szCs w:val="21"/>
              </w:rPr>
            </w:pPr>
            <w:r>
              <w:rPr>
                <w:rFonts w:hint="eastAsia" w:ascii="宋体" w:hAnsi="宋体" w:cs="宋体"/>
                <w:b/>
                <w:kern w:val="0"/>
                <w:szCs w:val="21"/>
              </w:rPr>
              <w:t>指导老师</w:t>
            </w:r>
          </w:p>
        </w:tc>
      </w:tr>
      <w:tr>
        <w:tblPrEx>
          <w:tblCellMar>
            <w:top w:w="0" w:type="dxa"/>
            <w:left w:w="108" w:type="dxa"/>
            <w:bottom w:w="0" w:type="dxa"/>
            <w:right w:w="108" w:type="dxa"/>
          </w:tblCellMar>
        </w:tblPrEx>
        <w:trPr>
          <w:trHeight w:val="360" w:hRule="atLeast"/>
        </w:trPr>
        <w:tc>
          <w:tcPr>
            <w:tcW w:w="706" w:type="dxa"/>
            <w:tcBorders>
              <w:top w:val="nil"/>
              <w:left w:val="single" w:color="auto" w:sz="4" w:space="0"/>
              <w:bottom w:val="single" w:color="auto" w:sz="4" w:space="0"/>
              <w:right w:val="single" w:color="auto" w:sz="4" w:space="0"/>
            </w:tcBorders>
            <w:noWrap/>
            <w:vAlign w:val="center"/>
          </w:tcPr>
          <w:p>
            <w:pPr>
              <w:widowControl/>
              <w:ind w:firstLine="198" w:firstLineChars="90"/>
              <w:rPr>
                <w:rFonts w:ascii="宋体" w:hAnsi="宋体" w:cs="宋体"/>
                <w:kern w:val="0"/>
                <w:sz w:val="22"/>
                <w:szCs w:val="22"/>
              </w:rPr>
            </w:pPr>
            <w:r>
              <w:rPr>
                <w:rFonts w:hint="eastAsia" w:ascii="宋体" w:hAnsi="宋体" w:cs="宋体"/>
                <w:kern w:val="0"/>
                <w:sz w:val="22"/>
                <w:szCs w:val="22"/>
              </w:rPr>
              <w:t>1</w:t>
            </w:r>
          </w:p>
        </w:tc>
        <w:tc>
          <w:tcPr>
            <w:tcW w:w="118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211636</w:t>
            </w:r>
          </w:p>
        </w:tc>
        <w:tc>
          <w:tcPr>
            <w:tcW w:w="112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林桂心</w:t>
            </w:r>
          </w:p>
        </w:tc>
        <w:tc>
          <w:tcPr>
            <w:tcW w:w="79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17</w:t>
            </w:r>
          </w:p>
        </w:tc>
        <w:tc>
          <w:tcPr>
            <w:tcW w:w="1540"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17</w:t>
            </w:r>
            <w:r>
              <w:rPr>
                <w:rFonts w:hint="eastAsia" w:ascii="宋体" w:hAnsi="宋体"/>
                <w:kern w:val="0"/>
                <w:szCs w:val="21"/>
              </w:rPr>
              <w:t>动漫（</w:t>
            </w:r>
            <w:r>
              <w:rPr>
                <w:kern w:val="0"/>
                <w:szCs w:val="21"/>
              </w:rPr>
              <w:t>2</w:t>
            </w:r>
            <w:r>
              <w:rPr>
                <w:rFonts w:hint="eastAsia" w:ascii="宋体" w:hAnsi="宋体"/>
                <w:kern w:val="0"/>
                <w:szCs w:val="21"/>
              </w:rPr>
              <w:t>）</w:t>
            </w:r>
          </w:p>
        </w:tc>
        <w:tc>
          <w:tcPr>
            <w:tcW w:w="245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《新时代·好少年》</w:t>
            </w:r>
          </w:p>
        </w:tc>
        <w:tc>
          <w:tcPr>
            <w:tcW w:w="1574" w:type="dxa"/>
            <w:tcBorders>
              <w:top w:val="nil"/>
              <w:left w:val="nil"/>
              <w:bottom w:val="single" w:color="auto" w:sz="4" w:space="0"/>
              <w:right w:val="single" w:color="auto" w:sz="4" w:space="0"/>
            </w:tcBorders>
            <w:vAlign w:val="center"/>
          </w:tcPr>
          <w:p>
            <w:pPr>
              <w:widowControl/>
              <w:ind w:firstLine="199" w:firstLineChars="83"/>
              <w:jc w:val="center"/>
              <w:rPr>
                <w:rFonts w:ascii="宋体" w:hAnsi="宋体" w:cs="宋体"/>
                <w:kern w:val="0"/>
                <w:szCs w:val="21"/>
              </w:rPr>
            </w:pPr>
            <w:r>
              <w:rPr>
                <w:rFonts w:hint="eastAsia" w:ascii="宋体" w:hAnsi="宋体" w:cs="宋体"/>
                <w:kern w:val="0"/>
                <w:szCs w:val="21"/>
              </w:rPr>
              <w:t>周婉</w:t>
            </w:r>
          </w:p>
        </w:tc>
      </w:tr>
      <w:tr>
        <w:tblPrEx>
          <w:tblCellMar>
            <w:top w:w="0" w:type="dxa"/>
            <w:left w:w="108" w:type="dxa"/>
            <w:bottom w:w="0" w:type="dxa"/>
            <w:right w:w="108" w:type="dxa"/>
          </w:tblCellMar>
        </w:tblPrEx>
        <w:trPr>
          <w:trHeight w:val="360" w:hRule="atLeast"/>
        </w:trPr>
        <w:tc>
          <w:tcPr>
            <w:tcW w:w="706" w:type="dxa"/>
            <w:tcBorders>
              <w:top w:val="nil"/>
              <w:left w:val="single" w:color="auto" w:sz="4" w:space="0"/>
              <w:bottom w:val="single" w:color="auto" w:sz="4" w:space="0"/>
              <w:right w:val="single" w:color="auto" w:sz="4" w:space="0"/>
            </w:tcBorders>
            <w:noWrap/>
            <w:vAlign w:val="center"/>
          </w:tcPr>
          <w:p>
            <w:pPr>
              <w:widowControl/>
              <w:ind w:firstLine="198" w:firstLineChars="90"/>
              <w:rPr>
                <w:rFonts w:ascii="宋体" w:hAnsi="宋体" w:cs="宋体"/>
                <w:kern w:val="0"/>
                <w:sz w:val="22"/>
                <w:szCs w:val="22"/>
              </w:rPr>
            </w:pPr>
            <w:r>
              <w:rPr>
                <w:rFonts w:hint="eastAsia" w:ascii="宋体" w:hAnsi="宋体" w:cs="宋体"/>
                <w:kern w:val="0"/>
                <w:sz w:val="22"/>
                <w:szCs w:val="22"/>
              </w:rPr>
              <w:t>2</w:t>
            </w:r>
          </w:p>
        </w:tc>
        <w:tc>
          <w:tcPr>
            <w:tcW w:w="118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209184</w:t>
            </w:r>
          </w:p>
        </w:tc>
        <w:tc>
          <w:tcPr>
            <w:tcW w:w="112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许欣宜</w:t>
            </w:r>
          </w:p>
        </w:tc>
        <w:tc>
          <w:tcPr>
            <w:tcW w:w="79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17</w:t>
            </w:r>
          </w:p>
        </w:tc>
        <w:tc>
          <w:tcPr>
            <w:tcW w:w="1540"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17</w:t>
            </w:r>
            <w:r>
              <w:rPr>
                <w:rFonts w:hint="eastAsia" w:ascii="宋体" w:hAnsi="宋体"/>
                <w:kern w:val="0"/>
                <w:szCs w:val="21"/>
              </w:rPr>
              <w:t>美术</w:t>
            </w:r>
            <w:r>
              <w:rPr>
                <w:kern w:val="0"/>
                <w:szCs w:val="21"/>
              </w:rPr>
              <w:t>22</w:t>
            </w:r>
            <w:r>
              <w:rPr>
                <w:rFonts w:hint="eastAsia" w:ascii="宋体" w:hAnsi="宋体"/>
                <w:kern w:val="0"/>
                <w:szCs w:val="21"/>
              </w:rPr>
              <w:t>班</w:t>
            </w:r>
          </w:p>
        </w:tc>
        <w:tc>
          <w:tcPr>
            <w:tcW w:w="2458" w:type="dxa"/>
            <w:tcBorders>
              <w:top w:val="nil"/>
              <w:left w:val="nil"/>
              <w:bottom w:val="single" w:color="auto" w:sz="4" w:space="0"/>
              <w:right w:val="single" w:color="auto" w:sz="4" w:space="0"/>
            </w:tcBorders>
            <w:vAlign w:val="center"/>
          </w:tcPr>
          <w:p>
            <w:pPr>
              <w:widowControl/>
              <w:ind w:firstLine="480"/>
              <w:jc w:val="center"/>
              <w:rPr>
                <w:rFonts w:ascii="宋体" w:hAnsi="宋体" w:cs="宋体"/>
                <w:kern w:val="0"/>
                <w:szCs w:val="21"/>
              </w:rPr>
            </w:pPr>
            <w:r>
              <w:rPr>
                <w:rFonts w:hint="eastAsia" w:ascii="宋体" w:hAnsi="宋体" w:cs="宋体"/>
                <w:kern w:val="0"/>
                <w:szCs w:val="21"/>
              </w:rPr>
              <w:t>静物写生</w:t>
            </w:r>
          </w:p>
        </w:tc>
        <w:tc>
          <w:tcPr>
            <w:tcW w:w="1574" w:type="dxa"/>
            <w:tcBorders>
              <w:top w:val="nil"/>
              <w:left w:val="nil"/>
              <w:bottom w:val="single" w:color="auto" w:sz="4" w:space="0"/>
              <w:right w:val="single" w:color="auto" w:sz="4" w:space="0"/>
            </w:tcBorders>
            <w:vAlign w:val="center"/>
          </w:tcPr>
          <w:p>
            <w:pPr>
              <w:widowControl/>
              <w:ind w:firstLine="199" w:firstLineChars="83"/>
              <w:jc w:val="center"/>
              <w:rPr>
                <w:rFonts w:ascii="宋体" w:hAnsi="宋体" w:cs="宋体"/>
                <w:kern w:val="0"/>
                <w:szCs w:val="21"/>
              </w:rPr>
            </w:pPr>
            <w:r>
              <w:rPr>
                <w:rFonts w:hint="eastAsia" w:ascii="宋体" w:hAnsi="宋体" w:cs="宋体"/>
                <w:kern w:val="0"/>
                <w:szCs w:val="21"/>
              </w:rPr>
              <w:t>林丹琪</w:t>
            </w:r>
          </w:p>
        </w:tc>
      </w:tr>
      <w:tr>
        <w:tblPrEx>
          <w:tblCellMar>
            <w:top w:w="0" w:type="dxa"/>
            <w:left w:w="108" w:type="dxa"/>
            <w:bottom w:w="0" w:type="dxa"/>
            <w:right w:w="108" w:type="dxa"/>
          </w:tblCellMar>
        </w:tblPrEx>
        <w:trPr>
          <w:trHeight w:val="360" w:hRule="atLeast"/>
        </w:trPr>
        <w:tc>
          <w:tcPr>
            <w:tcW w:w="706" w:type="dxa"/>
            <w:tcBorders>
              <w:top w:val="nil"/>
              <w:left w:val="single" w:color="auto" w:sz="4" w:space="0"/>
              <w:bottom w:val="single" w:color="auto" w:sz="4" w:space="0"/>
              <w:right w:val="single" w:color="auto" w:sz="4" w:space="0"/>
            </w:tcBorders>
            <w:noWrap/>
            <w:vAlign w:val="center"/>
          </w:tcPr>
          <w:p>
            <w:pPr>
              <w:widowControl/>
              <w:ind w:firstLine="198" w:firstLineChars="90"/>
              <w:rPr>
                <w:rFonts w:ascii="宋体" w:hAnsi="宋体" w:cs="宋体"/>
                <w:kern w:val="0"/>
                <w:sz w:val="22"/>
                <w:szCs w:val="22"/>
              </w:rPr>
            </w:pPr>
            <w:r>
              <w:rPr>
                <w:rFonts w:hint="eastAsia" w:ascii="宋体" w:hAnsi="宋体" w:cs="宋体"/>
                <w:kern w:val="0"/>
                <w:sz w:val="22"/>
                <w:szCs w:val="22"/>
              </w:rPr>
              <w:t>3</w:t>
            </w:r>
          </w:p>
        </w:tc>
        <w:tc>
          <w:tcPr>
            <w:tcW w:w="118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208985</w:t>
            </w:r>
          </w:p>
        </w:tc>
        <w:tc>
          <w:tcPr>
            <w:tcW w:w="112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郑科晓</w:t>
            </w:r>
          </w:p>
        </w:tc>
        <w:tc>
          <w:tcPr>
            <w:tcW w:w="79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17</w:t>
            </w:r>
          </w:p>
        </w:tc>
        <w:tc>
          <w:tcPr>
            <w:tcW w:w="1540"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17</w:t>
            </w:r>
            <w:r>
              <w:rPr>
                <w:rFonts w:hint="eastAsia" w:ascii="宋体" w:hAnsi="宋体"/>
                <w:kern w:val="0"/>
                <w:szCs w:val="21"/>
              </w:rPr>
              <w:t>高职</w:t>
            </w:r>
            <w:r>
              <w:rPr>
                <w:kern w:val="0"/>
                <w:szCs w:val="21"/>
              </w:rPr>
              <w:t>3</w:t>
            </w:r>
            <w:r>
              <w:rPr>
                <w:rFonts w:hint="eastAsia" w:ascii="宋体" w:hAnsi="宋体"/>
                <w:kern w:val="0"/>
                <w:szCs w:val="21"/>
              </w:rPr>
              <w:t>班</w:t>
            </w:r>
          </w:p>
        </w:tc>
        <w:tc>
          <w:tcPr>
            <w:tcW w:w="245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《水调歌头·明月 时有》</w:t>
            </w:r>
          </w:p>
        </w:tc>
        <w:tc>
          <w:tcPr>
            <w:tcW w:w="1574" w:type="dxa"/>
            <w:tcBorders>
              <w:top w:val="nil"/>
              <w:left w:val="nil"/>
              <w:bottom w:val="single" w:color="auto" w:sz="4" w:space="0"/>
              <w:right w:val="single" w:color="auto" w:sz="4" w:space="0"/>
            </w:tcBorders>
            <w:noWrap/>
            <w:vAlign w:val="center"/>
          </w:tcPr>
          <w:p>
            <w:pPr>
              <w:widowControl/>
              <w:ind w:firstLine="199" w:firstLineChars="83"/>
              <w:jc w:val="center"/>
              <w:rPr>
                <w:rFonts w:ascii="宋体" w:hAnsi="宋体" w:cs="宋体"/>
                <w:kern w:val="0"/>
                <w:szCs w:val="21"/>
              </w:rPr>
            </w:pPr>
            <w:r>
              <w:rPr>
                <w:rFonts w:hint="eastAsia" w:ascii="宋体" w:hAnsi="宋体" w:cs="宋体"/>
                <w:kern w:val="0"/>
                <w:szCs w:val="21"/>
              </w:rPr>
              <w:t>吴榕华</w:t>
            </w:r>
          </w:p>
        </w:tc>
      </w:tr>
      <w:tr>
        <w:tblPrEx>
          <w:tblCellMar>
            <w:top w:w="0" w:type="dxa"/>
            <w:left w:w="108" w:type="dxa"/>
            <w:bottom w:w="0" w:type="dxa"/>
            <w:right w:w="108" w:type="dxa"/>
          </w:tblCellMar>
        </w:tblPrEx>
        <w:trPr>
          <w:trHeight w:val="360" w:hRule="atLeast"/>
        </w:trPr>
        <w:tc>
          <w:tcPr>
            <w:tcW w:w="706" w:type="dxa"/>
            <w:tcBorders>
              <w:top w:val="nil"/>
              <w:left w:val="single" w:color="auto" w:sz="4" w:space="0"/>
              <w:bottom w:val="single" w:color="auto" w:sz="4" w:space="0"/>
              <w:right w:val="single" w:color="auto" w:sz="4" w:space="0"/>
            </w:tcBorders>
            <w:noWrap/>
            <w:vAlign w:val="center"/>
          </w:tcPr>
          <w:p>
            <w:pPr>
              <w:widowControl/>
              <w:ind w:firstLine="198" w:firstLineChars="90"/>
              <w:rPr>
                <w:rFonts w:ascii="宋体" w:hAnsi="宋体" w:cs="宋体"/>
                <w:kern w:val="0"/>
                <w:sz w:val="22"/>
                <w:szCs w:val="22"/>
              </w:rPr>
            </w:pPr>
            <w:r>
              <w:rPr>
                <w:rFonts w:hint="eastAsia" w:ascii="宋体" w:hAnsi="宋体" w:cs="宋体"/>
                <w:kern w:val="0"/>
                <w:sz w:val="22"/>
                <w:szCs w:val="22"/>
              </w:rPr>
              <w:t>4</w:t>
            </w:r>
          </w:p>
        </w:tc>
        <w:tc>
          <w:tcPr>
            <w:tcW w:w="118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203028</w:t>
            </w:r>
          </w:p>
        </w:tc>
        <w:tc>
          <w:tcPr>
            <w:tcW w:w="112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庄雯雯</w:t>
            </w:r>
          </w:p>
        </w:tc>
        <w:tc>
          <w:tcPr>
            <w:tcW w:w="79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20</w:t>
            </w:r>
          </w:p>
        </w:tc>
        <w:tc>
          <w:tcPr>
            <w:tcW w:w="1540"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16</w:t>
            </w:r>
            <w:r>
              <w:rPr>
                <w:rFonts w:hint="eastAsia" w:ascii="宋体" w:hAnsi="宋体"/>
                <w:kern w:val="0"/>
                <w:szCs w:val="21"/>
              </w:rPr>
              <w:t>大专（</w:t>
            </w:r>
            <w:r>
              <w:rPr>
                <w:kern w:val="0"/>
                <w:szCs w:val="21"/>
              </w:rPr>
              <w:t>1</w:t>
            </w:r>
            <w:r>
              <w:rPr>
                <w:rFonts w:hint="eastAsia" w:ascii="宋体" w:hAnsi="宋体"/>
                <w:kern w:val="0"/>
                <w:szCs w:val="21"/>
              </w:rPr>
              <w:t>）</w:t>
            </w:r>
          </w:p>
        </w:tc>
        <w:tc>
          <w:tcPr>
            <w:tcW w:w="2458" w:type="dxa"/>
            <w:tcBorders>
              <w:top w:val="nil"/>
              <w:left w:val="nil"/>
              <w:bottom w:val="single" w:color="auto" w:sz="4" w:space="0"/>
              <w:right w:val="single" w:color="auto" w:sz="4" w:space="0"/>
            </w:tcBorders>
            <w:vAlign w:val="center"/>
          </w:tcPr>
          <w:p>
            <w:pPr>
              <w:widowControl/>
              <w:ind w:firstLine="480"/>
              <w:jc w:val="center"/>
              <w:rPr>
                <w:rFonts w:ascii="宋体" w:hAnsi="宋体" w:cs="宋体"/>
                <w:kern w:val="0"/>
                <w:szCs w:val="21"/>
              </w:rPr>
            </w:pPr>
            <w:r>
              <w:rPr>
                <w:rFonts w:hint="eastAsia" w:ascii="宋体" w:hAnsi="宋体" w:cs="宋体"/>
                <w:kern w:val="0"/>
                <w:szCs w:val="21"/>
              </w:rPr>
              <w:t>《渔父》</w:t>
            </w:r>
          </w:p>
        </w:tc>
        <w:tc>
          <w:tcPr>
            <w:tcW w:w="1574" w:type="dxa"/>
            <w:tcBorders>
              <w:top w:val="nil"/>
              <w:left w:val="nil"/>
              <w:bottom w:val="single" w:color="auto" w:sz="4" w:space="0"/>
              <w:right w:val="single" w:color="auto" w:sz="4" w:space="0"/>
            </w:tcBorders>
            <w:noWrap/>
            <w:vAlign w:val="center"/>
          </w:tcPr>
          <w:p>
            <w:pPr>
              <w:widowControl/>
              <w:ind w:firstLine="436" w:firstLineChars="182"/>
              <w:rPr>
                <w:rFonts w:ascii="宋体" w:hAnsi="宋体" w:cs="宋体"/>
                <w:kern w:val="0"/>
                <w:szCs w:val="21"/>
              </w:rPr>
            </w:pPr>
            <w:r>
              <w:rPr>
                <w:rFonts w:hint="eastAsia" w:ascii="宋体" w:hAnsi="宋体" w:cs="宋体"/>
                <w:kern w:val="0"/>
                <w:szCs w:val="21"/>
              </w:rPr>
              <w:t>吴榕华</w:t>
            </w:r>
          </w:p>
        </w:tc>
      </w:tr>
      <w:tr>
        <w:tblPrEx>
          <w:tblCellMar>
            <w:top w:w="0" w:type="dxa"/>
            <w:left w:w="108" w:type="dxa"/>
            <w:bottom w:w="0" w:type="dxa"/>
            <w:right w:w="108" w:type="dxa"/>
          </w:tblCellMar>
        </w:tblPrEx>
        <w:trPr>
          <w:trHeight w:val="360" w:hRule="atLeast"/>
        </w:trPr>
        <w:tc>
          <w:tcPr>
            <w:tcW w:w="706" w:type="dxa"/>
            <w:tcBorders>
              <w:top w:val="nil"/>
              <w:left w:val="single" w:color="auto" w:sz="4" w:space="0"/>
              <w:bottom w:val="single" w:color="auto" w:sz="4" w:space="0"/>
              <w:right w:val="single" w:color="auto" w:sz="4" w:space="0"/>
            </w:tcBorders>
            <w:noWrap/>
            <w:vAlign w:val="center"/>
          </w:tcPr>
          <w:p>
            <w:pPr>
              <w:widowControl/>
              <w:ind w:firstLine="198" w:firstLineChars="90"/>
              <w:rPr>
                <w:rFonts w:ascii="宋体" w:hAnsi="宋体" w:cs="宋体"/>
                <w:kern w:val="0"/>
                <w:sz w:val="22"/>
                <w:szCs w:val="22"/>
              </w:rPr>
            </w:pPr>
            <w:r>
              <w:rPr>
                <w:rFonts w:hint="eastAsia" w:ascii="宋体" w:hAnsi="宋体" w:cs="宋体"/>
                <w:kern w:val="0"/>
                <w:sz w:val="22"/>
                <w:szCs w:val="22"/>
              </w:rPr>
              <w:t>5</w:t>
            </w:r>
          </w:p>
        </w:tc>
        <w:tc>
          <w:tcPr>
            <w:tcW w:w="118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200757</w:t>
            </w:r>
          </w:p>
        </w:tc>
        <w:tc>
          <w:tcPr>
            <w:tcW w:w="112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古晨瑶</w:t>
            </w:r>
          </w:p>
        </w:tc>
        <w:tc>
          <w:tcPr>
            <w:tcW w:w="79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18</w:t>
            </w:r>
          </w:p>
        </w:tc>
        <w:tc>
          <w:tcPr>
            <w:tcW w:w="1540"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16</w:t>
            </w:r>
            <w:r>
              <w:rPr>
                <w:rFonts w:hint="eastAsia" w:ascii="宋体" w:hAnsi="宋体"/>
                <w:kern w:val="0"/>
                <w:szCs w:val="21"/>
              </w:rPr>
              <w:t>大专（</w:t>
            </w:r>
            <w:r>
              <w:rPr>
                <w:kern w:val="0"/>
                <w:szCs w:val="21"/>
              </w:rPr>
              <w:t>1</w:t>
            </w:r>
            <w:r>
              <w:rPr>
                <w:rFonts w:hint="eastAsia" w:ascii="宋体" w:hAnsi="宋体"/>
                <w:kern w:val="0"/>
                <w:szCs w:val="21"/>
              </w:rPr>
              <w:t>）</w:t>
            </w:r>
          </w:p>
        </w:tc>
        <w:tc>
          <w:tcPr>
            <w:tcW w:w="2458" w:type="dxa"/>
            <w:tcBorders>
              <w:top w:val="nil"/>
              <w:left w:val="nil"/>
              <w:bottom w:val="single" w:color="auto" w:sz="4" w:space="0"/>
              <w:right w:val="single" w:color="auto" w:sz="4" w:space="0"/>
            </w:tcBorders>
            <w:vAlign w:val="center"/>
          </w:tcPr>
          <w:p>
            <w:pPr>
              <w:widowControl/>
              <w:ind w:firstLine="480"/>
              <w:jc w:val="center"/>
              <w:rPr>
                <w:rFonts w:ascii="宋体" w:hAnsi="宋体" w:cs="宋体"/>
                <w:kern w:val="0"/>
                <w:szCs w:val="21"/>
              </w:rPr>
            </w:pPr>
            <w:r>
              <w:rPr>
                <w:rFonts w:hint="eastAsia" w:ascii="宋体" w:hAnsi="宋体" w:cs="宋体"/>
                <w:kern w:val="0"/>
                <w:szCs w:val="21"/>
              </w:rPr>
              <w:t>《长相思》</w:t>
            </w:r>
          </w:p>
        </w:tc>
        <w:tc>
          <w:tcPr>
            <w:tcW w:w="1574" w:type="dxa"/>
            <w:tcBorders>
              <w:top w:val="nil"/>
              <w:left w:val="nil"/>
              <w:bottom w:val="single" w:color="auto" w:sz="4" w:space="0"/>
              <w:right w:val="single" w:color="auto" w:sz="4" w:space="0"/>
            </w:tcBorders>
            <w:noWrap/>
            <w:vAlign w:val="center"/>
          </w:tcPr>
          <w:p>
            <w:pPr>
              <w:widowControl/>
              <w:ind w:firstLine="480"/>
              <w:jc w:val="center"/>
              <w:rPr>
                <w:rFonts w:ascii="宋体" w:hAnsi="宋体" w:cs="宋体"/>
                <w:kern w:val="0"/>
                <w:szCs w:val="21"/>
              </w:rPr>
            </w:pPr>
            <w:r>
              <w:rPr>
                <w:rFonts w:hint="eastAsia" w:ascii="宋体" w:hAnsi="宋体" w:cs="宋体"/>
                <w:kern w:val="0"/>
                <w:szCs w:val="21"/>
              </w:rPr>
              <w:t>吴榕华</w:t>
            </w:r>
          </w:p>
        </w:tc>
      </w:tr>
      <w:tr>
        <w:tblPrEx>
          <w:tblCellMar>
            <w:top w:w="0" w:type="dxa"/>
            <w:left w:w="108" w:type="dxa"/>
            <w:bottom w:w="0" w:type="dxa"/>
            <w:right w:w="108" w:type="dxa"/>
          </w:tblCellMar>
        </w:tblPrEx>
        <w:trPr>
          <w:trHeight w:val="360" w:hRule="atLeast"/>
        </w:trPr>
        <w:tc>
          <w:tcPr>
            <w:tcW w:w="706" w:type="dxa"/>
            <w:tcBorders>
              <w:top w:val="nil"/>
              <w:left w:val="single" w:color="auto" w:sz="4" w:space="0"/>
              <w:bottom w:val="single" w:color="auto" w:sz="4" w:space="0"/>
              <w:right w:val="single" w:color="auto" w:sz="4" w:space="0"/>
            </w:tcBorders>
            <w:noWrap/>
            <w:vAlign w:val="center"/>
          </w:tcPr>
          <w:p>
            <w:pPr>
              <w:widowControl/>
              <w:ind w:firstLine="198" w:firstLineChars="90"/>
              <w:rPr>
                <w:rFonts w:ascii="宋体" w:hAnsi="宋体" w:cs="宋体"/>
                <w:kern w:val="0"/>
                <w:sz w:val="22"/>
                <w:szCs w:val="22"/>
              </w:rPr>
            </w:pPr>
            <w:r>
              <w:rPr>
                <w:rFonts w:hint="eastAsia" w:ascii="宋体" w:hAnsi="宋体" w:cs="宋体"/>
                <w:kern w:val="0"/>
                <w:sz w:val="22"/>
                <w:szCs w:val="22"/>
              </w:rPr>
              <w:t>6</w:t>
            </w:r>
          </w:p>
        </w:tc>
        <w:tc>
          <w:tcPr>
            <w:tcW w:w="118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208972</w:t>
            </w:r>
          </w:p>
        </w:tc>
        <w:tc>
          <w:tcPr>
            <w:tcW w:w="112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王泽敏</w:t>
            </w:r>
          </w:p>
        </w:tc>
        <w:tc>
          <w:tcPr>
            <w:tcW w:w="79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18</w:t>
            </w:r>
          </w:p>
        </w:tc>
        <w:tc>
          <w:tcPr>
            <w:tcW w:w="1540"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16</w:t>
            </w:r>
            <w:r>
              <w:rPr>
                <w:rFonts w:hint="eastAsia" w:ascii="宋体" w:hAnsi="宋体"/>
                <w:kern w:val="0"/>
                <w:szCs w:val="21"/>
              </w:rPr>
              <w:t>大专（</w:t>
            </w:r>
            <w:r>
              <w:rPr>
                <w:kern w:val="0"/>
                <w:szCs w:val="21"/>
              </w:rPr>
              <w:t>3</w:t>
            </w:r>
            <w:r>
              <w:rPr>
                <w:rFonts w:hint="eastAsia" w:ascii="宋体" w:hAnsi="宋体"/>
                <w:kern w:val="0"/>
                <w:szCs w:val="21"/>
              </w:rPr>
              <w:t>）</w:t>
            </w:r>
          </w:p>
        </w:tc>
        <w:tc>
          <w:tcPr>
            <w:tcW w:w="2458" w:type="dxa"/>
            <w:tcBorders>
              <w:top w:val="nil"/>
              <w:left w:val="nil"/>
              <w:bottom w:val="single" w:color="auto" w:sz="4" w:space="0"/>
              <w:right w:val="single" w:color="auto" w:sz="4" w:space="0"/>
            </w:tcBorders>
            <w:vAlign w:val="center"/>
          </w:tcPr>
          <w:p>
            <w:pPr>
              <w:widowControl/>
              <w:ind w:firstLine="480"/>
              <w:jc w:val="center"/>
              <w:rPr>
                <w:rFonts w:ascii="宋体" w:hAnsi="宋体" w:cs="宋体"/>
                <w:kern w:val="0"/>
                <w:szCs w:val="21"/>
              </w:rPr>
            </w:pPr>
            <w:r>
              <w:rPr>
                <w:rFonts w:hint="eastAsia" w:ascii="宋体" w:hAnsi="宋体" w:cs="宋体"/>
                <w:kern w:val="0"/>
                <w:szCs w:val="21"/>
              </w:rPr>
              <w:t>《曹刿论战》</w:t>
            </w:r>
          </w:p>
        </w:tc>
        <w:tc>
          <w:tcPr>
            <w:tcW w:w="1574" w:type="dxa"/>
            <w:tcBorders>
              <w:top w:val="nil"/>
              <w:left w:val="nil"/>
              <w:bottom w:val="single" w:color="auto" w:sz="4" w:space="0"/>
              <w:right w:val="single" w:color="auto" w:sz="4" w:space="0"/>
            </w:tcBorders>
            <w:noWrap/>
            <w:vAlign w:val="center"/>
          </w:tcPr>
          <w:p>
            <w:pPr>
              <w:widowControl/>
              <w:ind w:firstLine="480"/>
              <w:jc w:val="center"/>
              <w:rPr>
                <w:rFonts w:ascii="宋体" w:hAnsi="宋体" w:cs="宋体"/>
                <w:kern w:val="0"/>
                <w:szCs w:val="21"/>
              </w:rPr>
            </w:pPr>
            <w:r>
              <w:rPr>
                <w:rFonts w:hint="eastAsia" w:ascii="宋体" w:hAnsi="宋体" w:cs="宋体"/>
                <w:kern w:val="0"/>
                <w:szCs w:val="21"/>
              </w:rPr>
              <w:t>吴榕华</w:t>
            </w:r>
          </w:p>
        </w:tc>
      </w:tr>
      <w:tr>
        <w:tblPrEx>
          <w:tblCellMar>
            <w:top w:w="0" w:type="dxa"/>
            <w:left w:w="108" w:type="dxa"/>
            <w:bottom w:w="0" w:type="dxa"/>
            <w:right w:w="108" w:type="dxa"/>
          </w:tblCellMar>
        </w:tblPrEx>
        <w:trPr>
          <w:trHeight w:val="360" w:hRule="atLeast"/>
        </w:trPr>
        <w:tc>
          <w:tcPr>
            <w:tcW w:w="706" w:type="dxa"/>
            <w:tcBorders>
              <w:top w:val="nil"/>
              <w:left w:val="single" w:color="auto" w:sz="4" w:space="0"/>
              <w:bottom w:val="single" w:color="auto" w:sz="4" w:space="0"/>
              <w:right w:val="single" w:color="auto" w:sz="4" w:space="0"/>
            </w:tcBorders>
            <w:noWrap/>
            <w:vAlign w:val="center"/>
          </w:tcPr>
          <w:p>
            <w:pPr>
              <w:widowControl/>
              <w:ind w:firstLine="198" w:firstLineChars="90"/>
              <w:rPr>
                <w:rFonts w:ascii="宋体" w:hAnsi="宋体" w:cs="宋体"/>
                <w:kern w:val="0"/>
                <w:sz w:val="22"/>
                <w:szCs w:val="22"/>
              </w:rPr>
            </w:pPr>
            <w:r>
              <w:rPr>
                <w:rFonts w:hint="eastAsia" w:ascii="宋体" w:hAnsi="宋体" w:cs="宋体"/>
                <w:kern w:val="0"/>
                <w:sz w:val="22"/>
                <w:szCs w:val="22"/>
              </w:rPr>
              <w:t>7</w:t>
            </w:r>
          </w:p>
        </w:tc>
        <w:tc>
          <w:tcPr>
            <w:tcW w:w="118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200739</w:t>
            </w:r>
          </w:p>
        </w:tc>
        <w:tc>
          <w:tcPr>
            <w:tcW w:w="112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王玉雨</w:t>
            </w:r>
          </w:p>
        </w:tc>
        <w:tc>
          <w:tcPr>
            <w:tcW w:w="79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18</w:t>
            </w:r>
          </w:p>
        </w:tc>
        <w:tc>
          <w:tcPr>
            <w:tcW w:w="1540"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16</w:t>
            </w:r>
            <w:r>
              <w:rPr>
                <w:rFonts w:hint="eastAsia" w:ascii="宋体" w:hAnsi="宋体"/>
                <w:kern w:val="0"/>
                <w:szCs w:val="21"/>
              </w:rPr>
              <w:t>大专（</w:t>
            </w:r>
            <w:r>
              <w:rPr>
                <w:kern w:val="0"/>
                <w:szCs w:val="21"/>
              </w:rPr>
              <w:t>4</w:t>
            </w:r>
            <w:r>
              <w:rPr>
                <w:rFonts w:hint="eastAsia" w:ascii="宋体" w:hAnsi="宋体"/>
                <w:kern w:val="0"/>
                <w:szCs w:val="21"/>
              </w:rPr>
              <w:t>）</w:t>
            </w:r>
          </w:p>
        </w:tc>
        <w:tc>
          <w:tcPr>
            <w:tcW w:w="2458" w:type="dxa"/>
            <w:tcBorders>
              <w:top w:val="nil"/>
              <w:left w:val="nil"/>
              <w:bottom w:val="single" w:color="auto" w:sz="4" w:space="0"/>
              <w:right w:val="single" w:color="auto" w:sz="4" w:space="0"/>
            </w:tcBorders>
            <w:vAlign w:val="center"/>
          </w:tcPr>
          <w:p>
            <w:pPr>
              <w:widowControl/>
              <w:ind w:firstLine="480"/>
              <w:jc w:val="center"/>
              <w:rPr>
                <w:rFonts w:ascii="宋体" w:hAnsi="宋体" w:cs="宋体"/>
                <w:kern w:val="0"/>
                <w:szCs w:val="21"/>
              </w:rPr>
            </w:pPr>
            <w:r>
              <w:rPr>
                <w:rFonts w:hint="eastAsia" w:ascii="宋体" w:hAnsi="宋体" w:cs="宋体"/>
                <w:kern w:val="0"/>
                <w:szCs w:val="21"/>
              </w:rPr>
              <w:t>《春江花月夜》</w:t>
            </w:r>
          </w:p>
        </w:tc>
        <w:tc>
          <w:tcPr>
            <w:tcW w:w="1574" w:type="dxa"/>
            <w:tcBorders>
              <w:top w:val="nil"/>
              <w:left w:val="nil"/>
              <w:bottom w:val="single" w:color="auto" w:sz="4" w:space="0"/>
              <w:right w:val="single" w:color="auto" w:sz="4" w:space="0"/>
            </w:tcBorders>
            <w:noWrap/>
            <w:vAlign w:val="center"/>
          </w:tcPr>
          <w:p>
            <w:pPr>
              <w:widowControl/>
              <w:ind w:firstLine="480"/>
              <w:jc w:val="center"/>
              <w:rPr>
                <w:rFonts w:ascii="宋体" w:hAnsi="宋体" w:cs="宋体"/>
                <w:kern w:val="0"/>
                <w:szCs w:val="21"/>
              </w:rPr>
            </w:pPr>
            <w:r>
              <w:rPr>
                <w:rFonts w:hint="eastAsia" w:ascii="宋体" w:hAnsi="宋体" w:cs="宋体"/>
                <w:kern w:val="0"/>
                <w:szCs w:val="21"/>
              </w:rPr>
              <w:t>吴榕华</w:t>
            </w:r>
          </w:p>
        </w:tc>
      </w:tr>
      <w:tr>
        <w:tblPrEx>
          <w:tblCellMar>
            <w:top w:w="0" w:type="dxa"/>
            <w:left w:w="108" w:type="dxa"/>
            <w:bottom w:w="0" w:type="dxa"/>
            <w:right w:w="108" w:type="dxa"/>
          </w:tblCellMar>
        </w:tblPrEx>
        <w:trPr>
          <w:trHeight w:val="360" w:hRule="atLeast"/>
        </w:trPr>
        <w:tc>
          <w:tcPr>
            <w:tcW w:w="706" w:type="dxa"/>
            <w:tcBorders>
              <w:top w:val="nil"/>
              <w:left w:val="single" w:color="auto" w:sz="4" w:space="0"/>
              <w:bottom w:val="single" w:color="auto" w:sz="4" w:space="0"/>
              <w:right w:val="single" w:color="auto" w:sz="4" w:space="0"/>
            </w:tcBorders>
            <w:noWrap/>
            <w:vAlign w:val="center"/>
          </w:tcPr>
          <w:p>
            <w:pPr>
              <w:widowControl/>
              <w:ind w:firstLine="198" w:firstLineChars="90"/>
              <w:rPr>
                <w:rFonts w:ascii="宋体" w:hAnsi="宋体" w:cs="宋体"/>
                <w:kern w:val="0"/>
                <w:sz w:val="22"/>
                <w:szCs w:val="22"/>
              </w:rPr>
            </w:pPr>
            <w:r>
              <w:rPr>
                <w:rFonts w:hint="eastAsia" w:ascii="宋体" w:hAnsi="宋体" w:cs="宋体"/>
                <w:kern w:val="0"/>
                <w:sz w:val="22"/>
                <w:szCs w:val="22"/>
              </w:rPr>
              <w:t>8</w:t>
            </w:r>
          </w:p>
        </w:tc>
        <w:tc>
          <w:tcPr>
            <w:tcW w:w="118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200740</w:t>
            </w:r>
          </w:p>
        </w:tc>
        <w:tc>
          <w:tcPr>
            <w:tcW w:w="112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朱惠满</w:t>
            </w:r>
          </w:p>
        </w:tc>
        <w:tc>
          <w:tcPr>
            <w:tcW w:w="79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17</w:t>
            </w:r>
          </w:p>
        </w:tc>
        <w:tc>
          <w:tcPr>
            <w:tcW w:w="1540"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16</w:t>
            </w:r>
            <w:r>
              <w:rPr>
                <w:rFonts w:hint="eastAsia" w:ascii="宋体" w:hAnsi="宋体"/>
                <w:kern w:val="0"/>
                <w:szCs w:val="21"/>
              </w:rPr>
              <w:t>大专（</w:t>
            </w:r>
            <w:r>
              <w:rPr>
                <w:kern w:val="0"/>
                <w:szCs w:val="21"/>
              </w:rPr>
              <w:t>4</w:t>
            </w:r>
            <w:r>
              <w:rPr>
                <w:rFonts w:hint="eastAsia" w:ascii="宋体" w:hAnsi="宋体"/>
                <w:kern w:val="0"/>
                <w:szCs w:val="21"/>
              </w:rPr>
              <w:t>）</w:t>
            </w:r>
          </w:p>
        </w:tc>
        <w:tc>
          <w:tcPr>
            <w:tcW w:w="2458" w:type="dxa"/>
            <w:tcBorders>
              <w:top w:val="nil"/>
              <w:left w:val="nil"/>
              <w:bottom w:val="single" w:color="auto" w:sz="4" w:space="0"/>
              <w:right w:val="single" w:color="auto" w:sz="4" w:space="0"/>
            </w:tcBorders>
            <w:vAlign w:val="center"/>
          </w:tcPr>
          <w:p>
            <w:pPr>
              <w:widowControl/>
              <w:ind w:firstLine="480"/>
              <w:jc w:val="center"/>
              <w:rPr>
                <w:rFonts w:ascii="宋体" w:hAnsi="宋体" w:cs="宋体"/>
                <w:kern w:val="0"/>
                <w:szCs w:val="21"/>
              </w:rPr>
            </w:pPr>
            <w:r>
              <w:rPr>
                <w:rFonts w:hint="eastAsia" w:ascii="宋体" w:hAnsi="宋体" w:cs="宋体"/>
                <w:kern w:val="0"/>
                <w:szCs w:val="21"/>
              </w:rPr>
              <w:t>《桃花源记》</w:t>
            </w:r>
          </w:p>
        </w:tc>
        <w:tc>
          <w:tcPr>
            <w:tcW w:w="1574" w:type="dxa"/>
            <w:tcBorders>
              <w:top w:val="nil"/>
              <w:left w:val="nil"/>
              <w:bottom w:val="single" w:color="auto" w:sz="4" w:space="0"/>
              <w:right w:val="single" w:color="auto" w:sz="4" w:space="0"/>
            </w:tcBorders>
            <w:noWrap/>
            <w:vAlign w:val="center"/>
          </w:tcPr>
          <w:p>
            <w:pPr>
              <w:widowControl/>
              <w:ind w:firstLine="480"/>
              <w:jc w:val="center"/>
              <w:rPr>
                <w:rFonts w:ascii="宋体" w:hAnsi="宋体" w:cs="宋体"/>
                <w:kern w:val="0"/>
                <w:szCs w:val="21"/>
              </w:rPr>
            </w:pPr>
            <w:r>
              <w:rPr>
                <w:rFonts w:hint="eastAsia" w:ascii="宋体" w:hAnsi="宋体" w:cs="宋体"/>
                <w:kern w:val="0"/>
                <w:szCs w:val="21"/>
              </w:rPr>
              <w:t>吴榕华</w:t>
            </w:r>
          </w:p>
        </w:tc>
      </w:tr>
      <w:tr>
        <w:tblPrEx>
          <w:tblCellMar>
            <w:top w:w="0" w:type="dxa"/>
            <w:left w:w="108" w:type="dxa"/>
            <w:bottom w:w="0" w:type="dxa"/>
            <w:right w:w="108" w:type="dxa"/>
          </w:tblCellMar>
        </w:tblPrEx>
        <w:trPr>
          <w:trHeight w:val="360" w:hRule="atLeast"/>
        </w:trPr>
        <w:tc>
          <w:tcPr>
            <w:tcW w:w="706" w:type="dxa"/>
            <w:tcBorders>
              <w:top w:val="nil"/>
              <w:left w:val="single" w:color="auto" w:sz="4" w:space="0"/>
              <w:bottom w:val="single" w:color="auto" w:sz="4" w:space="0"/>
              <w:right w:val="single" w:color="auto" w:sz="4" w:space="0"/>
            </w:tcBorders>
            <w:noWrap/>
            <w:vAlign w:val="center"/>
          </w:tcPr>
          <w:p>
            <w:pPr>
              <w:widowControl/>
              <w:ind w:firstLine="198" w:firstLineChars="90"/>
              <w:rPr>
                <w:rFonts w:ascii="宋体" w:hAnsi="宋体" w:cs="宋体"/>
                <w:kern w:val="0"/>
                <w:sz w:val="22"/>
                <w:szCs w:val="22"/>
              </w:rPr>
            </w:pPr>
            <w:r>
              <w:rPr>
                <w:rFonts w:hint="eastAsia" w:ascii="宋体" w:hAnsi="宋体" w:cs="宋体"/>
                <w:kern w:val="0"/>
                <w:sz w:val="22"/>
                <w:szCs w:val="22"/>
              </w:rPr>
              <w:t>9</w:t>
            </w:r>
          </w:p>
        </w:tc>
        <w:tc>
          <w:tcPr>
            <w:tcW w:w="118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201185</w:t>
            </w:r>
          </w:p>
        </w:tc>
        <w:tc>
          <w:tcPr>
            <w:tcW w:w="112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林洁</w:t>
            </w:r>
          </w:p>
        </w:tc>
        <w:tc>
          <w:tcPr>
            <w:tcW w:w="79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20</w:t>
            </w:r>
          </w:p>
        </w:tc>
        <w:tc>
          <w:tcPr>
            <w:tcW w:w="1540"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16</w:t>
            </w:r>
            <w:r>
              <w:rPr>
                <w:rFonts w:hint="eastAsia" w:ascii="宋体" w:hAnsi="宋体"/>
                <w:kern w:val="0"/>
                <w:szCs w:val="21"/>
              </w:rPr>
              <w:t>大专（</w:t>
            </w:r>
            <w:r>
              <w:rPr>
                <w:kern w:val="0"/>
                <w:szCs w:val="21"/>
              </w:rPr>
              <w:t>4</w:t>
            </w:r>
            <w:r>
              <w:rPr>
                <w:rFonts w:hint="eastAsia" w:ascii="宋体" w:hAnsi="宋体"/>
                <w:kern w:val="0"/>
                <w:szCs w:val="21"/>
              </w:rPr>
              <w:t>）</w:t>
            </w:r>
          </w:p>
        </w:tc>
        <w:tc>
          <w:tcPr>
            <w:tcW w:w="2458" w:type="dxa"/>
            <w:tcBorders>
              <w:top w:val="nil"/>
              <w:left w:val="nil"/>
              <w:bottom w:val="single" w:color="auto" w:sz="4" w:space="0"/>
              <w:right w:val="single" w:color="auto" w:sz="4" w:space="0"/>
            </w:tcBorders>
            <w:vAlign w:val="center"/>
          </w:tcPr>
          <w:p>
            <w:pPr>
              <w:widowControl/>
              <w:ind w:firstLine="480"/>
              <w:jc w:val="center"/>
              <w:rPr>
                <w:rFonts w:ascii="宋体" w:hAnsi="宋体" w:cs="宋体"/>
                <w:kern w:val="0"/>
                <w:szCs w:val="21"/>
              </w:rPr>
            </w:pPr>
            <w:r>
              <w:rPr>
                <w:rFonts w:hint="eastAsia" w:ascii="宋体" w:hAnsi="宋体" w:cs="宋体"/>
                <w:kern w:val="0"/>
                <w:szCs w:val="21"/>
              </w:rPr>
              <w:t>《兰亭序》</w:t>
            </w:r>
          </w:p>
        </w:tc>
        <w:tc>
          <w:tcPr>
            <w:tcW w:w="1574" w:type="dxa"/>
            <w:tcBorders>
              <w:top w:val="nil"/>
              <w:left w:val="nil"/>
              <w:bottom w:val="single" w:color="auto" w:sz="4" w:space="0"/>
              <w:right w:val="single" w:color="auto" w:sz="4" w:space="0"/>
            </w:tcBorders>
            <w:noWrap/>
            <w:vAlign w:val="center"/>
          </w:tcPr>
          <w:p>
            <w:pPr>
              <w:widowControl/>
              <w:ind w:firstLine="480"/>
              <w:jc w:val="center"/>
              <w:rPr>
                <w:rFonts w:ascii="宋体" w:hAnsi="宋体" w:cs="宋体"/>
                <w:kern w:val="0"/>
                <w:szCs w:val="21"/>
              </w:rPr>
            </w:pPr>
            <w:r>
              <w:rPr>
                <w:rFonts w:hint="eastAsia" w:ascii="宋体" w:hAnsi="宋体" w:cs="宋体"/>
                <w:kern w:val="0"/>
                <w:szCs w:val="21"/>
              </w:rPr>
              <w:t>吴榕华</w:t>
            </w:r>
          </w:p>
        </w:tc>
      </w:tr>
      <w:tr>
        <w:tblPrEx>
          <w:tblCellMar>
            <w:top w:w="0" w:type="dxa"/>
            <w:left w:w="108" w:type="dxa"/>
            <w:bottom w:w="0" w:type="dxa"/>
            <w:right w:w="108" w:type="dxa"/>
          </w:tblCellMar>
        </w:tblPrEx>
        <w:trPr>
          <w:trHeight w:val="360" w:hRule="atLeast"/>
        </w:trPr>
        <w:tc>
          <w:tcPr>
            <w:tcW w:w="706" w:type="dxa"/>
            <w:tcBorders>
              <w:top w:val="nil"/>
              <w:left w:val="single" w:color="auto" w:sz="4" w:space="0"/>
              <w:bottom w:val="single" w:color="auto" w:sz="4" w:space="0"/>
              <w:right w:val="single" w:color="auto" w:sz="4" w:space="0"/>
            </w:tcBorders>
            <w:noWrap/>
            <w:vAlign w:val="center"/>
          </w:tcPr>
          <w:p>
            <w:pPr>
              <w:widowControl/>
              <w:ind w:firstLine="0" w:firstLineChars="0"/>
              <w:rPr>
                <w:rFonts w:ascii="宋体" w:hAnsi="宋体" w:cs="宋体"/>
                <w:kern w:val="0"/>
                <w:sz w:val="22"/>
                <w:szCs w:val="22"/>
              </w:rPr>
            </w:pPr>
            <w:r>
              <w:rPr>
                <w:rFonts w:hint="eastAsia" w:ascii="宋体" w:hAnsi="宋体" w:cs="宋体"/>
                <w:kern w:val="0"/>
                <w:sz w:val="22"/>
                <w:szCs w:val="22"/>
              </w:rPr>
              <w:t>10</w:t>
            </w:r>
          </w:p>
        </w:tc>
        <w:tc>
          <w:tcPr>
            <w:tcW w:w="118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211768</w:t>
            </w:r>
          </w:p>
        </w:tc>
        <w:tc>
          <w:tcPr>
            <w:tcW w:w="112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林丹妍</w:t>
            </w:r>
          </w:p>
        </w:tc>
        <w:tc>
          <w:tcPr>
            <w:tcW w:w="79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17</w:t>
            </w:r>
          </w:p>
        </w:tc>
        <w:tc>
          <w:tcPr>
            <w:tcW w:w="1540"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18</w:t>
            </w:r>
            <w:r>
              <w:rPr>
                <w:rFonts w:hint="eastAsia" w:ascii="宋体" w:hAnsi="宋体"/>
                <w:kern w:val="0"/>
                <w:szCs w:val="21"/>
              </w:rPr>
              <w:t>级</w:t>
            </w:r>
            <w:r>
              <w:rPr>
                <w:kern w:val="0"/>
                <w:szCs w:val="21"/>
              </w:rPr>
              <w:t>20</w:t>
            </w:r>
            <w:r>
              <w:rPr>
                <w:rFonts w:hint="eastAsia" w:ascii="宋体" w:hAnsi="宋体"/>
                <w:kern w:val="0"/>
                <w:szCs w:val="21"/>
              </w:rPr>
              <w:t>班</w:t>
            </w:r>
          </w:p>
        </w:tc>
        <w:tc>
          <w:tcPr>
            <w:tcW w:w="2458" w:type="dxa"/>
            <w:tcBorders>
              <w:top w:val="nil"/>
              <w:left w:val="nil"/>
              <w:bottom w:val="single" w:color="auto" w:sz="4" w:space="0"/>
              <w:right w:val="single" w:color="auto" w:sz="4" w:space="0"/>
            </w:tcBorders>
            <w:vAlign w:val="center"/>
          </w:tcPr>
          <w:p>
            <w:pPr>
              <w:widowControl/>
              <w:ind w:firstLine="480"/>
              <w:jc w:val="center"/>
              <w:rPr>
                <w:rFonts w:ascii="宋体" w:hAnsi="宋体" w:cs="宋体"/>
                <w:kern w:val="0"/>
                <w:szCs w:val="21"/>
              </w:rPr>
            </w:pPr>
            <w:r>
              <w:rPr>
                <w:rFonts w:hint="eastAsia" w:ascii="宋体" w:hAnsi="宋体" w:cs="宋体"/>
                <w:kern w:val="0"/>
                <w:szCs w:val="21"/>
              </w:rPr>
              <w:t>色彩动漫</w:t>
            </w:r>
          </w:p>
        </w:tc>
        <w:tc>
          <w:tcPr>
            <w:tcW w:w="1574" w:type="dxa"/>
            <w:tcBorders>
              <w:top w:val="nil"/>
              <w:left w:val="nil"/>
              <w:bottom w:val="single" w:color="auto" w:sz="4" w:space="0"/>
              <w:right w:val="single" w:color="auto" w:sz="4" w:space="0"/>
            </w:tcBorders>
            <w:noWrap/>
            <w:vAlign w:val="center"/>
          </w:tcPr>
          <w:p>
            <w:pPr>
              <w:widowControl/>
              <w:ind w:firstLine="480"/>
              <w:jc w:val="center"/>
              <w:rPr>
                <w:rFonts w:ascii="宋体" w:hAnsi="宋体" w:cs="宋体"/>
                <w:kern w:val="0"/>
                <w:szCs w:val="21"/>
              </w:rPr>
            </w:pPr>
            <w:r>
              <w:rPr>
                <w:rFonts w:hint="eastAsia" w:ascii="宋体" w:hAnsi="宋体" w:cs="宋体"/>
                <w:kern w:val="0"/>
                <w:szCs w:val="21"/>
              </w:rPr>
              <w:t>刘丹曼</w:t>
            </w:r>
          </w:p>
        </w:tc>
      </w:tr>
      <w:tr>
        <w:tblPrEx>
          <w:tblCellMar>
            <w:top w:w="0" w:type="dxa"/>
            <w:left w:w="108" w:type="dxa"/>
            <w:bottom w:w="0" w:type="dxa"/>
            <w:right w:w="108" w:type="dxa"/>
          </w:tblCellMar>
        </w:tblPrEx>
        <w:trPr>
          <w:trHeight w:val="360" w:hRule="atLeast"/>
        </w:trPr>
        <w:tc>
          <w:tcPr>
            <w:tcW w:w="706" w:type="dxa"/>
            <w:tcBorders>
              <w:top w:val="nil"/>
              <w:left w:val="single" w:color="auto" w:sz="4" w:space="0"/>
              <w:bottom w:val="single" w:color="auto" w:sz="4" w:space="0"/>
              <w:right w:val="single" w:color="auto" w:sz="4" w:space="0"/>
            </w:tcBorders>
            <w:noWrap/>
            <w:vAlign w:val="center"/>
          </w:tcPr>
          <w:p>
            <w:pPr>
              <w:widowControl/>
              <w:ind w:firstLine="0" w:firstLineChars="0"/>
              <w:rPr>
                <w:rFonts w:ascii="宋体" w:hAnsi="宋体" w:cs="宋体"/>
                <w:kern w:val="0"/>
                <w:sz w:val="22"/>
                <w:szCs w:val="22"/>
              </w:rPr>
            </w:pPr>
            <w:r>
              <w:rPr>
                <w:rFonts w:hint="eastAsia" w:ascii="宋体" w:hAnsi="宋体" w:cs="宋体"/>
                <w:kern w:val="0"/>
                <w:sz w:val="22"/>
                <w:szCs w:val="22"/>
              </w:rPr>
              <w:t>11</w:t>
            </w:r>
          </w:p>
        </w:tc>
        <w:tc>
          <w:tcPr>
            <w:tcW w:w="118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211722</w:t>
            </w:r>
          </w:p>
        </w:tc>
        <w:tc>
          <w:tcPr>
            <w:tcW w:w="112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黄妍镃</w:t>
            </w:r>
          </w:p>
        </w:tc>
        <w:tc>
          <w:tcPr>
            <w:tcW w:w="79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14</w:t>
            </w:r>
          </w:p>
        </w:tc>
        <w:tc>
          <w:tcPr>
            <w:tcW w:w="1540"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18</w:t>
            </w:r>
            <w:r>
              <w:rPr>
                <w:rFonts w:hint="eastAsia" w:ascii="宋体" w:hAnsi="宋体"/>
                <w:kern w:val="0"/>
                <w:szCs w:val="21"/>
              </w:rPr>
              <w:t>级</w:t>
            </w:r>
            <w:r>
              <w:rPr>
                <w:kern w:val="0"/>
                <w:szCs w:val="21"/>
              </w:rPr>
              <w:t>20</w:t>
            </w:r>
            <w:r>
              <w:rPr>
                <w:rFonts w:hint="eastAsia" w:ascii="宋体" w:hAnsi="宋体"/>
                <w:kern w:val="0"/>
                <w:szCs w:val="21"/>
              </w:rPr>
              <w:t>班</w:t>
            </w:r>
          </w:p>
        </w:tc>
        <w:tc>
          <w:tcPr>
            <w:tcW w:w="2458" w:type="dxa"/>
            <w:tcBorders>
              <w:top w:val="nil"/>
              <w:left w:val="nil"/>
              <w:bottom w:val="single" w:color="auto" w:sz="4" w:space="0"/>
              <w:right w:val="single" w:color="auto" w:sz="4" w:space="0"/>
            </w:tcBorders>
            <w:vAlign w:val="center"/>
          </w:tcPr>
          <w:p>
            <w:pPr>
              <w:widowControl/>
              <w:ind w:firstLine="480"/>
              <w:jc w:val="center"/>
              <w:rPr>
                <w:rFonts w:ascii="宋体" w:hAnsi="宋体" w:cs="宋体"/>
                <w:kern w:val="0"/>
                <w:szCs w:val="21"/>
              </w:rPr>
            </w:pPr>
            <w:r>
              <w:rPr>
                <w:rFonts w:hint="eastAsia" w:ascii="宋体" w:hAnsi="宋体" w:cs="宋体"/>
                <w:kern w:val="0"/>
                <w:szCs w:val="21"/>
              </w:rPr>
              <w:t>色彩儿童画</w:t>
            </w:r>
          </w:p>
        </w:tc>
        <w:tc>
          <w:tcPr>
            <w:tcW w:w="1574" w:type="dxa"/>
            <w:tcBorders>
              <w:top w:val="nil"/>
              <w:left w:val="nil"/>
              <w:bottom w:val="single" w:color="auto" w:sz="4" w:space="0"/>
              <w:right w:val="single" w:color="auto" w:sz="4" w:space="0"/>
            </w:tcBorders>
            <w:noWrap/>
            <w:vAlign w:val="center"/>
          </w:tcPr>
          <w:p>
            <w:pPr>
              <w:widowControl/>
              <w:ind w:firstLine="480"/>
              <w:jc w:val="center"/>
              <w:rPr>
                <w:rFonts w:ascii="宋体" w:hAnsi="宋体" w:cs="宋体"/>
                <w:kern w:val="0"/>
                <w:szCs w:val="21"/>
              </w:rPr>
            </w:pPr>
            <w:r>
              <w:rPr>
                <w:rFonts w:hint="eastAsia" w:ascii="宋体" w:hAnsi="宋体" w:cs="宋体"/>
                <w:kern w:val="0"/>
                <w:szCs w:val="21"/>
              </w:rPr>
              <w:t>刘丹曼</w:t>
            </w:r>
          </w:p>
        </w:tc>
      </w:tr>
      <w:tr>
        <w:tblPrEx>
          <w:tblCellMar>
            <w:top w:w="0" w:type="dxa"/>
            <w:left w:w="108" w:type="dxa"/>
            <w:bottom w:w="0" w:type="dxa"/>
            <w:right w:w="108" w:type="dxa"/>
          </w:tblCellMar>
        </w:tblPrEx>
        <w:trPr>
          <w:trHeight w:val="360" w:hRule="atLeast"/>
        </w:trPr>
        <w:tc>
          <w:tcPr>
            <w:tcW w:w="706" w:type="dxa"/>
            <w:tcBorders>
              <w:top w:val="nil"/>
              <w:left w:val="single" w:color="auto" w:sz="4" w:space="0"/>
              <w:bottom w:val="single" w:color="auto" w:sz="4" w:space="0"/>
              <w:right w:val="single" w:color="auto" w:sz="4" w:space="0"/>
            </w:tcBorders>
            <w:noWrap/>
            <w:vAlign w:val="center"/>
          </w:tcPr>
          <w:p>
            <w:pPr>
              <w:widowControl/>
              <w:ind w:firstLine="0" w:firstLineChars="0"/>
              <w:rPr>
                <w:rFonts w:ascii="宋体" w:hAnsi="宋体" w:cs="宋体"/>
                <w:kern w:val="0"/>
                <w:sz w:val="22"/>
                <w:szCs w:val="22"/>
              </w:rPr>
            </w:pPr>
            <w:r>
              <w:rPr>
                <w:rFonts w:hint="eastAsia" w:ascii="宋体" w:hAnsi="宋体" w:cs="宋体"/>
                <w:kern w:val="0"/>
                <w:sz w:val="22"/>
                <w:szCs w:val="22"/>
              </w:rPr>
              <w:t>12</w:t>
            </w:r>
          </w:p>
        </w:tc>
        <w:tc>
          <w:tcPr>
            <w:tcW w:w="118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211691</w:t>
            </w:r>
          </w:p>
        </w:tc>
        <w:tc>
          <w:tcPr>
            <w:tcW w:w="112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王安琪</w:t>
            </w:r>
          </w:p>
        </w:tc>
        <w:tc>
          <w:tcPr>
            <w:tcW w:w="79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18</w:t>
            </w:r>
          </w:p>
        </w:tc>
        <w:tc>
          <w:tcPr>
            <w:tcW w:w="1540"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18</w:t>
            </w:r>
            <w:r>
              <w:rPr>
                <w:rFonts w:hint="eastAsia" w:ascii="宋体" w:hAnsi="宋体"/>
                <w:kern w:val="0"/>
                <w:szCs w:val="21"/>
              </w:rPr>
              <w:t>级</w:t>
            </w:r>
            <w:r>
              <w:rPr>
                <w:kern w:val="0"/>
                <w:szCs w:val="21"/>
              </w:rPr>
              <w:t>21</w:t>
            </w:r>
            <w:r>
              <w:rPr>
                <w:rFonts w:hint="eastAsia" w:ascii="宋体" w:hAnsi="宋体"/>
                <w:kern w:val="0"/>
                <w:szCs w:val="21"/>
              </w:rPr>
              <w:t>班</w:t>
            </w:r>
          </w:p>
        </w:tc>
        <w:tc>
          <w:tcPr>
            <w:tcW w:w="2458" w:type="dxa"/>
            <w:tcBorders>
              <w:top w:val="nil"/>
              <w:left w:val="nil"/>
              <w:bottom w:val="single" w:color="auto" w:sz="4" w:space="0"/>
              <w:right w:val="single" w:color="auto" w:sz="4" w:space="0"/>
            </w:tcBorders>
            <w:vAlign w:val="center"/>
          </w:tcPr>
          <w:p>
            <w:pPr>
              <w:widowControl/>
              <w:ind w:firstLine="480"/>
              <w:jc w:val="center"/>
              <w:rPr>
                <w:rFonts w:ascii="宋体" w:hAnsi="宋体" w:cs="宋体"/>
                <w:kern w:val="0"/>
                <w:szCs w:val="21"/>
              </w:rPr>
            </w:pPr>
            <w:r>
              <w:rPr>
                <w:rFonts w:hint="eastAsia" w:ascii="宋体" w:hAnsi="宋体" w:cs="宋体"/>
                <w:kern w:val="0"/>
                <w:szCs w:val="21"/>
              </w:rPr>
              <w:t>线描动物</w:t>
            </w:r>
          </w:p>
        </w:tc>
        <w:tc>
          <w:tcPr>
            <w:tcW w:w="1574" w:type="dxa"/>
            <w:tcBorders>
              <w:top w:val="nil"/>
              <w:left w:val="nil"/>
              <w:bottom w:val="single" w:color="auto" w:sz="4" w:space="0"/>
              <w:right w:val="single" w:color="auto" w:sz="4" w:space="0"/>
            </w:tcBorders>
            <w:noWrap/>
            <w:vAlign w:val="center"/>
          </w:tcPr>
          <w:p>
            <w:pPr>
              <w:widowControl/>
              <w:ind w:firstLine="480"/>
              <w:jc w:val="center"/>
              <w:rPr>
                <w:rFonts w:ascii="宋体" w:hAnsi="宋体" w:cs="宋体"/>
                <w:kern w:val="0"/>
                <w:szCs w:val="21"/>
              </w:rPr>
            </w:pPr>
            <w:r>
              <w:rPr>
                <w:rFonts w:hint="eastAsia" w:ascii="宋体" w:hAnsi="宋体" w:cs="宋体"/>
                <w:kern w:val="0"/>
                <w:szCs w:val="21"/>
              </w:rPr>
              <w:t>刘丹曼</w:t>
            </w:r>
          </w:p>
        </w:tc>
      </w:tr>
      <w:tr>
        <w:tblPrEx>
          <w:tblCellMar>
            <w:top w:w="0" w:type="dxa"/>
            <w:left w:w="108" w:type="dxa"/>
            <w:bottom w:w="0" w:type="dxa"/>
            <w:right w:w="108" w:type="dxa"/>
          </w:tblCellMar>
        </w:tblPrEx>
        <w:trPr>
          <w:trHeight w:val="360" w:hRule="atLeast"/>
        </w:trPr>
        <w:tc>
          <w:tcPr>
            <w:tcW w:w="706" w:type="dxa"/>
            <w:tcBorders>
              <w:top w:val="nil"/>
              <w:left w:val="single" w:color="auto" w:sz="4" w:space="0"/>
              <w:bottom w:val="single" w:color="auto" w:sz="4" w:space="0"/>
              <w:right w:val="single" w:color="auto" w:sz="4" w:space="0"/>
            </w:tcBorders>
            <w:noWrap/>
            <w:vAlign w:val="center"/>
          </w:tcPr>
          <w:p>
            <w:pPr>
              <w:widowControl/>
              <w:ind w:firstLine="0" w:firstLineChars="0"/>
              <w:rPr>
                <w:rFonts w:ascii="宋体" w:hAnsi="宋体" w:cs="宋体"/>
                <w:kern w:val="0"/>
                <w:sz w:val="22"/>
                <w:szCs w:val="22"/>
              </w:rPr>
            </w:pPr>
            <w:r>
              <w:rPr>
                <w:rFonts w:hint="eastAsia" w:ascii="宋体" w:hAnsi="宋体" w:cs="宋体"/>
                <w:kern w:val="0"/>
                <w:sz w:val="22"/>
                <w:szCs w:val="22"/>
              </w:rPr>
              <w:t>13</w:t>
            </w:r>
          </w:p>
        </w:tc>
        <w:tc>
          <w:tcPr>
            <w:tcW w:w="118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211711</w:t>
            </w:r>
          </w:p>
        </w:tc>
        <w:tc>
          <w:tcPr>
            <w:tcW w:w="112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郑佳</w:t>
            </w:r>
          </w:p>
        </w:tc>
        <w:tc>
          <w:tcPr>
            <w:tcW w:w="79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15</w:t>
            </w:r>
          </w:p>
        </w:tc>
        <w:tc>
          <w:tcPr>
            <w:tcW w:w="1540"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18</w:t>
            </w:r>
            <w:r>
              <w:rPr>
                <w:rFonts w:hint="eastAsia" w:ascii="宋体" w:hAnsi="宋体"/>
                <w:kern w:val="0"/>
                <w:szCs w:val="21"/>
              </w:rPr>
              <w:t>级</w:t>
            </w:r>
            <w:r>
              <w:rPr>
                <w:kern w:val="0"/>
                <w:szCs w:val="21"/>
              </w:rPr>
              <w:t>20</w:t>
            </w:r>
            <w:r>
              <w:rPr>
                <w:rFonts w:hint="eastAsia" w:ascii="宋体" w:hAnsi="宋体"/>
                <w:kern w:val="0"/>
                <w:szCs w:val="21"/>
              </w:rPr>
              <w:t>班</w:t>
            </w:r>
          </w:p>
        </w:tc>
        <w:tc>
          <w:tcPr>
            <w:tcW w:w="2458" w:type="dxa"/>
            <w:tcBorders>
              <w:top w:val="nil"/>
              <w:left w:val="nil"/>
              <w:bottom w:val="single" w:color="auto" w:sz="4" w:space="0"/>
              <w:right w:val="single" w:color="auto" w:sz="4" w:space="0"/>
            </w:tcBorders>
            <w:vAlign w:val="center"/>
          </w:tcPr>
          <w:p>
            <w:pPr>
              <w:widowControl/>
              <w:ind w:firstLine="480"/>
              <w:jc w:val="center"/>
              <w:rPr>
                <w:rFonts w:ascii="宋体" w:hAnsi="宋体" w:cs="宋体"/>
                <w:kern w:val="0"/>
                <w:szCs w:val="21"/>
              </w:rPr>
            </w:pPr>
            <w:r>
              <w:rPr>
                <w:rFonts w:hint="eastAsia" w:ascii="宋体" w:hAnsi="宋体" w:cs="宋体"/>
                <w:kern w:val="0"/>
                <w:szCs w:val="21"/>
              </w:rPr>
              <w:t>色彩儿童画</w:t>
            </w:r>
          </w:p>
        </w:tc>
        <w:tc>
          <w:tcPr>
            <w:tcW w:w="1574" w:type="dxa"/>
            <w:tcBorders>
              <w:top w:val="nil"/>
              <w:left w:val="nil"/>
              <w:bottom w:val="single" w:color="auto" w:sz="4" w:space="0"/>
              <w:right w:val="single" w:color="auto" w:sz="4" w:space="0"/>
            </w:tcBorders>
            <w:noWrap/>
            <w:vAlign w:val="center"/>
          </w:tcPr>
          <w:p>
            <w:pPr>
              <w:widowControl/>
              <w:ind w:firstLine="480"/>
              <w:jc w:val="center"/>
              <w:rPr>
                <w:rFonts w:ascii="宋体" w:hAnsi="宋体" w:cs="宋体"/>
                <w:kern w:val="0"/>
                <w:szCs w:val="21"/>
              </w:rPr>
            </w:pPr>
            <w:r>
              <w:rPr>
                <w:rFonts w:hint="eastAsia" w:ascii="宋体" w:hAnsi="宋体" w:cs="宋体"/>
                <w:kern w:val="0"/>
                <w:szCs w:val="21"/>
              </w:rPr>
              <w:t>刘丹曼</w:t>
            </w:r>
          </w:p>
        </w:tc>
      </w:tr>
      <w:tr>
        <w:tblPrEx>
          <w:tblCellMar>
            <w:top w:w="0" w:type="dxa"/>
            <w:left w:w="108" w:type="dxa"/>
            <w:bottom w:w="0" w:type="dxa"/>
            <w:right w:w="108" w:type="dxa"/>
          </w:tblCellMar>
        </w:tblPrEx>
        <w:trPr>
          <w:trHeight w:val="360" w:hRule="atLeast"/>
        </w:trPr>
        <w:tc>
          <w:tcPr>
            <w:tcW w:w="706" w:type="dxa"/>
            <w:tcBorders>
              <w:top w:val="nil"/>
              <w:left w:val="single" w:color="auto" w:sz="4" w:space="0"/>
              <w:bottom w:val="single" w:color="auto" w:sz="4" w:space="0"/>
              <w:right w:val="single" w:color="auto" w:sz="4" w:space="0"/>
            </w:tcBorders>
            <w:noWrap/>
            <w:vAlign w:val="center"/>
          </w:tcPr>
          <w:p>
            <w:pPr>
              <w:widowControl/>
              <w:ind w:firstLine="0" w:firstLineChars="0"/>
              <w:rPr>
                <w:rFonts w:ascii="宋体" w:hAnsi="宋体" w:cs="宋体"/>
                <w:kern w:val="0"/>
                <w:sz w:val="22"/>
                <w:szCs w:val="22"/>
              </w:rPr>
            </w:pPr>
            <w:r>
              <w:rPr>
                <w:rFonts w:hint="eastAsia" w:ascii="宋体" w:hAnsi="宋体" w:cs="宋体"/>
                <w:kern w:val="0"/>
                <w:sz w:val="22"/>
                <w:szCs w:val="22"/>
              </w:rPr>
              <w:t>14</w:t>
            </w:r>
          </w:p>
        </w:tc>
        <w:tc>
          <w:tcPr>
            <w:tcW w:w="118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211735</w:t>
            </w:r>
          </w:p>
        </w:tc>
        <w:tc>
          <w:tcPr>
            <w:tcW w:w="112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林漫婷</w:t>
            </w:r>
          </w:p>
        </w:tc>
        <w:tc>
          <w:tcPr>
            <w:tcW w:w="79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18</w:t>
            </w:r>
          </w:p>
        </w:tc>
        <w:tc>
          <w:tcPr>
            <w:tcW w:w="1540"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18</w:t>
            </w:r>
            <w:r>
              <w:rPr>
                <w:rFonts w:hint="eastAsia" w:ascii="宋体" w:hAnsi="宋体"/>
                <w:kern w:val="0"/>
                <w:szCs w:val="21"/>
              </w:rPr>
              <w:t>级</w:t>
            </w:r>
            <w:r>
              <w:rPr>
                <w:kern w:val="0"/>
                <w:szCs w:val="21"/>
              </w:rPr>
              <w:t>21</w:t>
            </w:r>
            <w:r>
              <w:rPr>
                <w:rFonts w:hint="eastAsia" w:ascii="宋体" w:hAnsi="宋体"/>
                <w:kern w:val="0"/>
                <w:szCs w:val="21"/>
              </w:rPr>
              <w:t>班</w:t>
            </w:r>
          </w:p>
        </w:tc>
        <w:tc>
          <w:tcPr>
            <w:tcW w:w="2458" w:type="dxa"/>
            <w:tcBorders>
              <w:top w:val="nil"/>
              <w:left w:val="nil"/>
              <w:bottom w:val="single" w:color="auto" w:sz="4" w:space="0"/>
              <w:right w:val="single" w:color="auto" w:sz="4" w:space="0"/>
            </w:tcBorders>
            <w:vAlign w:val="center"/>
          </w:tcPr>
          <w:p>
            <w:pPr>
              <w:widowControl/>
              <w:ind w:firstLine="480"/>
              <w:jc w:val="center"/>
              <w:rPr>
                <w:rFonts w:ascii="宋体" w:hAnsi="宋体" w:cs="宋体"/>
                <w:kern w:val="0"/>
                <w:szCs w:val="21"/>
              </w:rPr>
            </w:pPr>
            <w:r>
              <w:rPr>
                <w:rFonts w:hint="eastAsia" w:ascii="宋体" w:hAnsi="宋体" w:cs="宋体"/>
                <w:kern w:val="0"/>
                <w:szCs w:val="21"/>
              </w:rPr>
              <w:t>纸板卡通</w:t>
            </w:r>
          </w:p>
        </w:tc>
        <w:tc>
          <w:tcPr>
            <w:tcW w:w="1574" w:type="dxa"/>
            <w:tcBorders>
              <w:top w:val="nil"/>
              <w:left w:val="nil"/>
              <w:bottom w:val="single" w:color="auto" w:sz="4" w:space="0"/>
              <w:right w:val="single" w:color="auto" w:sz="4" w:space="0"/>
            </w:tcBorders>
            <w:noWrap/>
            <w:vAlign w:val="center"/>
          </w:tcPr>
          <w:p>
            <w:pPr>
              <w:widowControl/>
              <w:ind w:firstLine="480"/>
              <w:jc w:val="center"/>
              <w:rPr>
                <w:rFonts w:ascii="宋体" w:hAnsi="宋体" w:cs="宋体"/>
                <w:kern w:val="0"/>
                <w:szCs w:val="21"/>
              </w:rPr>
            </w:pPr>
            <w:r>
              <w:rPr>
                <w:rFonts w:hint="eastAsia" w:ascii="宋体" w:hAnsi="宋体" w:cs="宋体"/>
                <w:kern w:val="0"/>
                <w:szCs w:val="21"/>
              </w:rPr>
              <w:t>刘丹曼</w:t>
            </w:r>
          </w:p>
        </w:tc>
      </w:tr>
      <w:tr>
        <w:tblPrEx>
          <w:tblCellMar>
            <w:top w:w="0" w:type="dxa"/>
            <w:left w:w="108" w:type="dxa"/>
            <w:bottom w:w="0" w:type="dxa"/>
            <w:right w:w="108" w:type="dxa"/>
          </w:tblCellMar>
        </w:tblPrEx>
        <w:trPr>
          <w:trHeight w:val="360" w:hRule="atLeast"/>
        </w:trPr>
        <w:tc>
          <w:tcPr>
            <w:tcW w:w="706" w:type="dxa"/>
            <w:tcBorders>
              <w:top w:val="nil"/>
              <w:left w:val="single" w:color="auto" w:sz="4" w:space="0"/>
              <w:bottom w:val="single" w:color="auto" w:sz="4" w:space="0"/>
              <w:right w:val="single" w:color="auto" w:sz="4" w:space="0"/>
            </w:tcBorders>
            <w:noWrap/>
            <w:vAlign w:val="center"/>
          </w:tcPr>
          <w:p>
            <w:pPr>
              <w:widowControl/>
              <w:ind w:firstLine="0" w:firstLineChars="0"/>
              <w:rPr>
                <w:rFonts w:ascii="宋体" w:hAnsi="宋体" w:cs="宋体"/>
                <w:kern w:val="0"/>
                <w:sz w:val="22"/>
                <w:szCs w:val="22"/>
              </w:rPr>
            </w:pPr>
            <w:r>
              <w:rPr>
                <w:rFonts w:hint="eastAsia" w:ascii="宋体" w:hAnsi="宋体" w:cs="宋体"/>
                <w:kern w:val="0"/>
                <w:sz w:val="22"/>
                <w:szCs w:val="22"/>
              </w:rPr>
              <w:t>15</w:t>
            </w:r>
          </w:p>
        </w:tc>
        <w:tc>
          <w:tcPr>
            <w:tcW w:w="118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211693</w:t>
            </w:r>
          </w:p>
        </w:tc>
        <w:tc>
          <w:tcPr>
            <w:tcW w:w="112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王雪娟</w:t>
            </w:r>
          </w:p>
        </w:tc>
        <w:tc>
          <w:tcPr>
            <w:tcW w:w="79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17</w:t>
            </w:r>
          </w:p>
        </w:tc>
        <w:tc>
          <w:tcPr>
            <w:tcW w:w="1540"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18</w:t>
            </w:r>
            <w:r>
              <w:rPr>
                <w:rFonts w:hint="eastAsia" w:ascii="宋体" w:hAnsi="宋体"/>
                <w:kern w:val="0"/>
                <w:szCs w:val="21"/>
              </w:rPr>
              <w:t>级</w:t>
            </w:r>
            <w:r>
              <w:rPr>
                <w:kern w:val="0"/>
                <w:szCs w:val="21"/>
              </w:rPr>
              <w:t>22</w:t>
            </w:r>
            <w:r>
              <w:rPr>
                <w:rFonts w:hint="eastAsia" w:ascii="宋体" w:hAnsi="宋体"/>
                <w:kern w:val="0"/>
                <w:szCs w:val="21"/>
              </w:rPr>
              <w:t>班</w:t>
            </w:r>
          </w:p>
        </w:tc>
        <w:tc>
          <w:tcPr>
            <w:tcW w:w="2458" w:type="dxa"/>
            <w:tcBorders>
              <w:top w:val="nil"/>
              <w:left w:val="nil"/>
              <w:bottom w:val="single" w:color="auto" w:sz="4" w:space="0"/>
              <w:right w:val="single" w:color="auto" w:sz="4" w:space="0"/>
            </w:tcBorders>
            <w:vAlign w:val="center"/>
          </w:tcPr>
          <w:p>
            <w:pPr>
              <w:widowControl/>
              <w:ind w:firstLine="480"/>
              <w:jc w:val="center"/>
              <w:rPr>
                <w:rFonts w:ascii="宋体" w:hAnsi="宋体" w:cs="宋体"/>
                <w:kern w:val="0"/>
                <w:szCs w:val="21"/>
              </w:rPr>
            </w:pPr>
            <w:r>
              <w:rPr>
                <w:rFonts w:hint="eastAsia" w:ascii="宋体" w:hAnsi="宋体" w:cs="宋体"/>
                <w:kern w:val="0"/>
                <w:szCs w:val="21"/>
              </w:rPr>
              <w:t>线描人物画</w:t>
            </w:r>
          </w:p>
        </w:tc>
        <w:tc>
          <w:tcPr>
            <w:tcW w:w="1574" w:type="dxa"/>
            <w:tcBorders>
              <w:top w:val="nil"/>
              <w:left w:val="nil"/>
              <w:bottom w:val="single" w:color="auto" w:sz="4" w:space="0"/>
              <w:right w:val="single" w:color="auto" w:sz="4" w:space="0"/>
            </w:tcBorders>
            <w:noWrap/>
            <w:vAlign w:val="center"/>
          </w:tcPr>
          <w:p>
            <w:pPr>
              <w:widowControl/>
              <w:ind w:firstLine="480"/>
              <w:jc w:val="center"/>
              <w:rPr>
                <w:rFonts w:ascii="宋体" w:hAnsi="宋体" w:cs="宋体"/>
                <w:kern w:val="0"/>
                <w:szCs w:val="21"/>
              </w:rPr>
            </w:pPr>
            <w:r>
              <w:rPr>
                <w:rFonts w:hint="eastAsia" w:ascii="宋体" w:hAnsi="宋体" w:cs="宋体"/>
                <w:kern w:val="0"/>
                <w:szCs w:val="21"/>
              </w:rPr>
              <w:t>刘丹曼</w:t>
            </w:r>
          </w:p>
        </w:tc>
      </w:tr>
      <w:tr>
        <w:tblPrEx>
          <w:tblCellMar>
            <w:top w:w="0" w:type="dxa"/>
            <w:left w:w="108" w:type="dxa"/>
            <w:bottom w:w="0" w:type="dxa"/>
            <w:right w:w="108" w:type="dxa"/>
          </w:tblCellMar>
        </w:tblPrEx>
        <w:trPr>
          <w:trHeight w:val="360" w:hRule="atLeast"/>
        </w:trPr>
        <w:tc>
          <w:tcPr>
            <w:tcW w:w="706" w:type="dxa"/>
            <w:tcBorders>
              <w:top w:val="nil"/>
              <w:left w:val="single" w:color="auto" w:sz="4" w:space="0"/>
              <w:bottom w:val="single" w:color="auto" w:sz="4" w:space="0"/>
              <w:right w:val="single" w:color="auto" w:sz="4" w:space="0"/>
            </w:tcBorders>
            <w:noWrap/>
            <w:vAlign w:val="center"/>
          </w:tcPr>
          <w:p>
            <w:pPr>
              <w:widowControl/>
              <w:ind w:firstLine="0" w:firstLineChars="0"/>
              <w:rPr>
                <w:rFonts w:ascii="宋体" w:hAnsi="宋体" w:cs="宋体"/>
                <w:kern w:val="0"/>
                <w:sz w:val="22"/>
                <w:szCs w:val="22"/>
              </w:rPr>
            </w:pPr>
            <w:r>
              <w:rPr>
                <w:rFonts w:hint="eastAsia" w:ascii="宋体" w:hAnsi="宋体" w:cs="宋体"/>
                <w:kern w:val="0"/>
                <w:sz w:val="22"/>
                <w:szCs w:val="22"/>
              </w:rPr>
              <w:t>16</w:t>
            </w:r>
          </w:p>
        </w:tc>
        <w:tc>
          <w:tcPr>
            <w:tcW w:w="118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211748</w:t>
            </w:r>
          </w:p>
        </w:tc>
        <w:tc>
          <w:tcPr>
            <w:tcW w:w="112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林美琪</w:t>
            </w:r>
          </w:p>
        </w:tc>
        <w:tc>
          <w:tcPr>
            <w:tcW w:w="79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17</w:t>
            </w:r>
          </w:p>
        </w:tc>
        <w:tc>
          <w:tcPr>
            <w:tcW w:w="1540"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18</w:t>
            </w:r>
            <w:r>
              <w:rPr>
                <w:rFonts w:hint="eastAsia" w:ascii="宋体" w:hAnsi="宋体"/>
                <w:kern w:val="0"/>
                <w:szCs w:val="21"/>
              </w:rPr>
              <w:t>级</w:t>
            </w:r>
            <w:r>
              <w:rPr>
                <w:kern w:val="0"/>
                <w:szCs w:val="21"/>
              </w:rPr>
              <w:t>22</w:t>
            </w:r>
            <w:r>
              <w:rPr>
                <w:rFonts w:hint="eastAsia" w:ascii="宋体" w:hAnsi="宋体"/>
                <w:kern w:val="0"/>
                <w:szCs w:val="21"/>
              </w:rPr>
              <w:t>班</w:t>
            </w:r>
          </w:p>
        </w:tc>
        <w:tc>
          <w:tcPr>
            <w:tcW w:w="2458" w:type="dxa"/>
            <w:tcBorders>
              <w:top w:val="nil"/>
              <w:left w:val="nil"/>
              <w:bottom w:val="single" w:color="auto" w:sz="4" w:space="0"/>
              <w:right w:val="single" w:color="auto" w:sz="4" w:space="0"/>
            </w:tcBorders>
            <w:vAlign w:val="center"/>
          </w:tcPr>
          <w:p>
            <w:pPr>
              <w:widowControl/>
              <w:ind w:firstLine="480"/>
              <w:jc w:val="center"/>
              <w:rPr>
                <w:rFonts w:ascii="宋体" w:hAnsi="宋体" w:cs="宋体"/>
                <w:kern w:val="0"/>
                <w:szCs w:val="21"/>
              </w:rPr>
            </w:pPr>
            <w:r>
              <w:rPr>
                <w:rFonts w:hint="eastAsia" w:ascii="宋体" w:hAnsi="宋体" w:cs="宋体"/>
                <w:kern w:val="0"/>
                <w:szCs w:val="21"/>
              </w:rPr>
              <w:t>色彩动漫</w:t>
            </w:r>
          </w:p>
        </w:tc>
        <w:tc>
          <w:tcPr>
            <w:tcW w:w="1574" w:type="dxa"/>
            <w:tcBorders>
              <w:top w:val="nil"/>
              <w:left w:val="nil"/>
              <w:bottom w:val="single" w:color="auto" w:sz="4" w:space="0"/>
              <w:right w:val="single" w:color="auto" w:sz="4" w:space="0"/>
            </w:tcBorders>
            <w:noWrap/>
            <w:vAlign w:val="center"/>
          </w:tcPr>
          <w:p>
            <w:pPr>
              <w:widowControl/>
              <w:ind w:firstLine="480"/>
              <w:jc w:val="center"/>
              <w:rPr>
                <w:rFonts w:ascii="宋体" w:hAnsi="宋体" w:cs="宋体"/>
                <w:kern w:val="0"/>
                <w:szCs w:val="21"/>
              </w:rPr>
            </w:pPr>
            <w:r>
              <w:rPr>
                <w:rFonts w:hint="eastAsia" w:ascii="宋体" w:hAnsi="宋体" w:cs="宋体"/>
                <w:kern w:val="0"/>
                <w:szCs w:val="21"/>
              </w:rPr>
              <w:t>刘丹曼</w:t>
            </w:r>
          </w:p>
        </w:tc>
      </w:tr>
      <w:tr>
        <w:tblPrEx>
          <w:tblCellMar>
            <w:top w:w="0" w:type="dxa"/>
            <w:left w:w="108" w:type="dxa"/>
            <w:bottom w:w="0" w:type="dxa"/>
            <w:right w:w="108" w:type="dxa"/>
          </w:tblCellMar>
        </w:tblPrEx>
        <w:trPr>
          <w:trHeight w:val="360" w:hRule="atLeast"/>
        </w:trPr>
        <w:tc>
          <w:tcPr>
            <w:tcW w:w="706" w:type="dxa"/>
            <w:tcBorders>
              <w:top w:val="nil"/>
              <w:left w:val="single" w:color="auto" w:sz="4" w:space="0"/>
              <w:bottom w:val="single" w:color="auto" w:sz="4" w:space="0"/>
              <w:right w:val="single" w:color="auto" w:sz="4" w:space="0"/>
            </w:tcBorders>
            <w:noWrap/>
            <w:vAlign w:val="center"/>
          </w:tcPr>
          <w:p>
            <w:pPr>
              <w:widowControl/>
              <w:ind w:firstLine="0" w:firstLineChars="0"/>
              <w:rPr>
                <w:rFonts w:ascii="宋体" w:hAnsi="宋体" w:cs="宋体"/>
                <w:kern w:val="0"/>
                <w:sz w:val="22"/>
                <w:szCs w:val="22"/>
              </w:rPr>
            </w:pPr>
            <w:r>
              <w:rPr>
                <w:rFonts w:hint="eastAsia" w:ascii="宋体" w:hAnsi="宋体" w:cs="宋体"/>
                <w:kern w:val="0"/>
                <w:sz w:val="22"/>
                <w:szCs w:val="22"/>
              </w:rPr>
              <w:t>17</w:t>
            </w:r>
          </w:p>
        </w:tc>
        <w:tc>
          <w:tcPr>
            <w:tcW w:w="118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211703</w:t>
            </w:r>
          </w:p>
        </w:tc>
        <w:tc>
          <w:tcPr>
            <w:tcW w:w="112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卢蝶龙</w:t>
            </w:r>
          </w:p>
        </w:tc>
        <w:tc>
          <w:tcPr>
            <w:tcW w:w="79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17</w:t>
            </w:r>
          </w:p>
        </w:tc>
        <w:tc>
          <w:tcPr>
            <w:tcW w:w="1540"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18</w:t>
            </w:r>
            <w:r>
              <w:rPr>
                <w:rFonts w:hint="eastAsia" w:ascii="宋体" w:hAnsi="宋体"/>
                <w:kern w:val="0"/>
                <w:szCs w:val="21"/>
              </w:rPr>
              <w:t>级</w:t>
            </w:r>
            <w:r>
              <w:rPr>
                <w:kern w:val="0"/>
                <w:szCs w:val="21"/>
              </w:rPr>
              <w:t>22</w:t>
            </w:r>
            <w:r>
              <w:rPr>
                <w:rFonts w:hint="eastAsia" w:ascii="宋体" w:hAnsi="宋体"/>
                <w:kern w:val="0"/>
                <w:szCs w:val="21"/>
              </w:rPr>
              <w:t>班</w:t>
            </w:r>
          </w:p>
        </w:tc>
        <w:tc>
          <w:tcPr>
            <w:tcW w:w="2458" w:type="dxa"/>
            <w:tcBorders>
              <w:top w:val="nil"/>
              <w:left w:val="nil"/>
              <w:bottom w:val="single" w:color="auto" w:sz="4" w:space="0"/>
              <w:right w:val="single" w:color="auto" w:sz="4" w:space="0"/>
            </w:tcBorders>
            <w:vAlign w:val="center"/>
          </w:tcPr>
          <w:p>
            <w:pPr>
              <w:widowControl/>
              <w:ind w:firstLine="480"/>
              <w:jc w:val="center"/>
              <w:rPr>
                <w:rFonts w:ascii="宋体" w:hAnsi="宋体" w:cs="宋体"/>
                <w:kern w:val="0"/>
                <w:szCs w:val="21"/>
              </w:rPr>
            </w:pPr>
            <w:r>
              <w:rPr>
                <w:rFonts w:hint="eastAsia" w:ascii="宋体" w:hAnsi="宋体" w:cs="宋体"/>
                <w:kern w:val="0"/>
                <w:szCs w:val="21"/>
              </w:rPr>
              <w:t>线描人物</w:t>
            </w:r>
          </w:p>
        </w:tc>
        <w:tc>
          <w:tcPr>
            <w:tcW w:w="1574" w:type="dxa"/>
            <w:tcBorders>
              <w:top w:val="nil"/>
              <w:left w:val="nil"/>
              <w:bottom w:val="single" w:color="auto" w:sz="4" w:space="0"/>
              <w:right w:val="single" w:color="auto" w:sz="4" w:space="0"/>
            </w:tcBorders>
            <w:noWrap/>
            <w:vAlign w:val="center"/>
          </w:tcPr>
          <w:p>
            <w:pPr>
              <w:widowControl/>
              <w:ind w:firstLine="480"/>
              <w:jc w:val="center"/>
              <w:rPr>
                <w:rFonts w:ascii="宋体" w:hAnsi="宋体" w:cs="宋体"/>
                <w:kern w:val="0"/>
                <w:szCs w:val="21"/>
              </w:rPr>
            </w:pPr>
            <w:r>
              <w:rPr>
                <w:rFonts w:hint="eastAsia" w:ascii="宋体" w:hAnsi="宋体" w:cs="宋体"/>
                <w:kern w:val="0"/>
                <w:szCs w:val="21"/>
              </w:rPr>
              <w:t>刘丹曼</w:t>
            </w:r>
          </w:p>
        </w:tc>
      </w:tr>
      <w:tr>
        <w:tblPrEx>
          <w:tblCellMar>
            <w:top w:w="0" w:type="dxa"/>
            <w:left w:w="108" w:type="dxa"/>
            <w:bottom w:w="0" w:type="dxa"/>
            <w:right w:w="108" w:type="dxa"/>
          </w:tblCellMar>
        </w:tblPrEx>
        <w:trPr>
          <w:trHeight w:val="360" w:hRule="atLeast"/>
        </w:trPr>
        <w:tc>
          <w:tcPr>
            <w:tcW w:w="706" w:type="dxa"/>
            <w:tcBorders>
              <w:top w:val="nil"/>
              <w:left w:val="single" w:color="auto" w:sz="4" w:space="0"/>
              <w:bottom w:val="single" w:color="auto" w:sz="4" w:space="0"/>
              <w:right w:val="single" w:color="auto" w:sz="4" w:space="0"/>
            </w:tcBorders>
            <w:noWrap/>
            <w:vAlign w:val="center"/>
          </w:tcPr>
          <w:p>
            <w:pPr>
              <w:widowControl/>
              <w:ind w:firstLine="0" w:firstLineChars="0"/>
              <w:rPr>
                <w:rFonts w:ascii="宋体" w:hAnsi="宋体" w:cs="宋体"/>
                <w:kern w:val="0"/>
                <w:sz w:val="22"/>
                <w:szCs w:val="22"/>
              </w:rPr>
            </w:pPr>
            <w:r>
              <w:rPr>
                <w:rFonts w:hint="eastAsia" w:ascii="宋体" w:hAnsi="宋体" w:cs="宋体"/>
                <w:kern w:val="0"/>
                <w:sz w:val="22"/>
                <w:szCs w:val="22"/>
              </w:rPr>
              <w:t>18</w:t>
            </w:r>
          </w:p>
        </w:tc>
        <w:tc>
          <w:tcPr>
            <w:tcW w:w="118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211701</w:t>
            </w:r>
          </w:p>
        </w:tc>
        <w:tc>
          <w:tcPr>
            <w:tcW w:w="112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徐漫婷</w:t>
            </w:r>
          </w:p>
        </w:tc>
        <w:tc>
          <w:tcPr>
            <w:tcW w:w="79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18</w:t>
            </w:r>
          </w:p>
        </w:tc>
        <w:tc>
          <w:tcPr>
            <w:tcW w:w="1540"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18</w:t>
            </w:r>
            <w:r>
              <w:rPr>
                <w:rFonts w:hint="eastAsia" w:ascii="宋体" w:hAnsi="宋体"/>
                <w:kern w:val="0"/>
                <w:szCs w:val="21"/>
              </w:rPr>
              <w:t>级</w:t>
            </w:r>
            <w:r>
              <w:rPr>
                <w:kern w:val="0"/>
                <w:szCs w:val="21"/>
              </w:rPr>
              <w:t>21</w:t>
            </w:r>
            <w:r>
              <w:rPr>
                <w:rFonts w:hint="eastAsia" w:ascii="宋体" w:hAnsi="宋体"/>
                <w:kern w:val="0"/>
                <w:szCs w:val="21"/>
              </w:rPr>
              <w:t>班</w:t>
            </w:r>
          </w:p>
        </w:tc>
        <w:tc>
          <w:tcPr>
            <w:tcW w:w="2458" w:type="dxa"/>
            <w:tcBorders>
              <w:top w:val="nil"/>
              <w:left w:val="nil"/>
              <w:bottom w:val="single" w:color="auto" w:sz="4" w:space="0"/>
              <w:right w:val="single" w:color="auto" w:sz="4" w:space="0"/>
            </w:tcBorders>
            <w:vAlign w:val="center"/>
          </w:tcPr>
          <w:p>
            <w:pPr>
              <w:widowControl/>
              <w:ind w:firstLine="480"/>
              <w:jc w:val="center"/>
              <w:rPr>
                <w:rFonts w:ascii="宋体" w:hAnsi="宋体" w:cs="宋体"/>
                <w:kern w:val="0"/>
                <w:szCs w:val="21"/>
              </w:rPr>
            </w:pPr>
            <w:r>
              <w:rPr>
                <w:rFonts w:hint="eastAsia" w:ascii="宋体" w:hAnsi="宋体" w:cs="宋体"/>
                <w:kern w:val="0"/>
                <w:szCs w:val="21"/>
              </w:rPr>
              <w:t>纸版人物</w:t>
            </w:r>
          </w:p>
        </w:tc>
        <w:tc>
          <w:tcPr>
            <w:tcW w:w="1574" w:type="dxa"/>
            <w:tcBorders>
              <w:top w:val="nil"/>
              <w:left w:val="nil"/>
              <w:bottom w:val="single" w:color="auto" w:sz="4" w:space="0"/>
              <w:right w:val="single" w:color="auto" w:sz="4" w:space="0"/>
            </w:tcBorders>
            <w:noWrap/>
            <w:vAlign w:val="center"/>
          </w:tcPr>
          <w:p>
            <w:pPr>
              <w:widowControl/>
              <w:ind w:firstLine="480"/>
              <w:jc w:val="center"/>
              <w:rPr>
                <w:rFonts w:ascii="宋体" w:hAnsi="宋体" w:cs="宋体"/>
                <w:kern w:val="0"/>
                <w:szCs w:val="21"/>
              </w:rPr>
            </w:pPr>
            <w:r>
              <w:rPr>
                <w:rFonts w:hint="eastAsia" w:ascii="宋体" w:hAnsi="宋体" w:cs="宋体"/>
                <w:kern w:val="0"/>
                <w:szCs w:val="21"/>
              </w:rPr>
              <w:t>刘丹曼</w:t>
            </w:r>
          </w:p>
        </w:tc>
      </w:tr>
      <w:tr>
        <w:tblPrEx>
          <w:tblCellMar>
            <w:top w:w="0" w:type="dxa"/>
            <w:left w:w="108" w:type="dxa"/>
            <w:bottom w:w="0" w:type="dxa"/>
            <w:right w:w="108" w:type="dxa"/>
          </w:tblCellMar>
        </w:tblPrEx>
        <w:trPr>
          <w:trHeight w:val="360" w:hRule="atLeast"/>
        </w:trPr>
        <w:tc>
          <w:tcPr>
            <w:tcW w:w="706" w:type="dxa"/>
            <w:tcBorders>
              <w:top w:val="nil"/>
              <w:left w:val="single" w:color="auto" w:sz="4" w:space="0"/>
              <w:bottom w:val="single" w:color="auto" w:sz="4" w:space="0"/>
              <w:right w:val="single" w:color="auto" w:sz="4" w:space="0"/>
            </w:tcBorders>
            <w:noWrap/>
            <w:vAlign w:val="center"/>
          </w:tcPr>
          <w:p>
            <w:pPr>
              <w:widowControl/>
              <w:ind w:firstLine="0" w:firstLineChars="0"/>
              <w:rPr>
                <w:rFonts w:ascii="宋体" w:hAnsi="宋体" w:cs="宋体"/>
                <w:kern w:val="0"/>
                <w:sz w:val="22"/>
                <w:szCs w:val="22"/>
              </w:rPr>
            </w:pPr>
            <w:r>
              <w:rPr>
                <w:rFonts w:hint="eastAsia" w:ascii="宋体" w:hAnsi="宋体" w:cs="宋体"/>
                <w:kern w:val="0"/>
                <w:sz w:val="22"/>
                <w:szCs w:val="22"/>
              </w:rPr>
              <w:t>19</w:t>
            </w:r>
          </w:p>
        </w:tc>
        <w:tc>
          <w:tcPr>
            <w:tcW w:w="118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211749</w:t>
            </w:r>
          </w:p>
        </w:tc>
        <w:tc>
          <w:tcPr>
            <w:tcW w:w="112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李锦华</w:t>
            </w:r>
          </w:p>
        </w:tc>
        <w:tc>
          <w:tcPr>
            <w:tcW w:w="79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18</w:t>
            </w:r>
          </w:p>
        </w:tc>
        <w:tc>
          <w:tcPr>
            <w:tcW w:w="1540"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18</w:t>
            </w:r>
            <w:r>
              <w:rPr>
                <w:rFonts w:hint="eastAsia" w:ascii="宋体" w:hAnsi="宋体"/>
                <w:kern w:val="0"/>
                <w:szCs w:val="21"/>
              </w:rPr>
              <w:t>级</w:t>
            </w:r>
            <w:r>
              <w:rPr>
                <w:kern w:val="0"/>
                <w:szCs w:val="21"/>
              </w:rPr>
              <w:t>20</w:t>
            </w:r>
            <w:r>
              <w:rPr>
                <w:rFonts w:hint="eastAsia" w:ascii="宋体" w:hAnsi="宋体"/>
                <w:kern w:val="0"/>
                <w:szCs w:val="21"/>
              </w:rPr>
              <w:t>班</w:t>
            </w:r>
          </w:p>
        </w:tc>
        <w:tc>
          <w:tcPr>
            <w:tcW w:w="2458" w:type="dxa"/>
            <w:tcBorders>
              <w:top w:val="nil"/>
              <w:left w:val="nil"/>
              <w:bottom w:val="single" w:color="auto" w:sz="4" w:space="0"/>
              <w:right w:val="single" w:color="auto" w:sz="4" w:space="0"/>
            </w:tcBorders>
            <w:vAlign w:val="center"/>
          </w:tcPr>
          <w:p>
            <w:pPr>
              <w:widowControl/>
              <w:ind w:firstLine="480"/>
              <w:jc w:val="center"/>
              <w:rPr>
                <w:rFonts w:ascii="宋体" w:hAnsi="宋体" w:cs="宋体"/>
                <w:kern w:val="0"/>
                <w:szCs w:val="21"/>
              </w:rPr>
            </w:pPr>
            <w:r>
              <w:rPr>
                <w:rFonts w:hint="eastAsia" w:ascii="宋体" w:hAnsi="宋体" w:cs="宋体"/>
                <w:kern w:val="0"/>
                <w:szCs w:val="21"/>
              </w:rPr>
              <w:t>色彩卡通</w:t>
            </w:r>
          </w:p>
        </w:tc>
        <w:tc>
          <w:tcPr>
            <w:tcW w:w="1574" w:type="dxa"/>
            <w:tcBorders>
              <w:top w:val="nil"/>
              <w:left w:val="nil"/>
              <w:bottom w:val="single" w:color="auto" w:sz="4" w:space="0"/>
              <w:right w:val="single" w:color="auto" w:sz="4" w:space="0"/>
            </w:tcBorders>
            <w:noWrap/>
            <w:vAlign w:val="center"/>
          </w:tcPr>
          <w:p>
            <w:pPr>
              <w:widowControl/>
              <w:ind w:firstLine="480"/>
              <w:jc w:val="center"/>
              <w:rPr>
                <w:rFonts w:ascii="宋体" w:hAnsi="宋体" w:cs="宋体"/>
                <w:kern w:val="0"/>
                <w:szCs w:val="21"/>
              </w:rPr>
            </w:pPr>
            <w:r>
              <w:rPr>
                <w:rFonts w:hint="eastAsia" w:ascii="宋体" w:hAnsi="宋体" w:cs="宋体"/>
                <w:kern w:val="0"/>
                <w:szCs w:val="21"/>
              </w:rPr>
              <w:t>刘丹曼</w:t>
            </w:r>
          </w:p>
        </w:tc>
      </w:tr>
      <w:tr>
        <w:tblPrEx>
          <w:tblCellMar>
            <w:top w:w="0" w:type="dxa"/>
            <w:left w:w="108" w:type="dxa"/>
            <w:bottom w:w="0" w:type="dxa"/>
            <w:right w:w="108" w:type="dxa"/>
          </w:tblCellMar>
        </w:tblPrEx>
        <w:trPr>
          <w:trHeight w:val="360" w:hRule="atLeast"/>
        </w:trPr>
        <w:tc>
          <w:tcPr>
            <w:tcW w:w="706" w:type="dxa"/>
            <w:tcBorders>
              <w:top w:val="nil"/>
              <w:left w:val="single" w:color="auto" w:sz="4" w:space="0"/>
              <w:bottom w:val="single" w:color="auto" w:sz="4" w:space="0"/>
              <w:right w:val="single" w:color="auto" w:sz="4" w:space="0"/>
            </w:tcBorders>
            <w:noWrap/>
            <w:vAlign w:val="center"/>
          </w:tcPr>
          <w:p>
            <w:pPr>
              <w:widowControl/>
              <w:ind w:firstLine="0" w:firstLineChars="0"/>
              <w:rPr>
                <w:rFonts w:ascii="宋体" w:hAnsi="宋体" w:cs="宋体"/>
                <w:kern w:val="0"/>
                <w:sz w:val="22"/>
                <w:szCs w:val="22"/>
              </w:rPr>
            </w:pPr>
            <w:r>
              <w:rPr>
                <w:rFonts w:hint="eastAsia" w:ascii="宋体" w:hAnsi="宋体" w:cs="宋体"/>
                <w:kern w:val="0"/>
                <w:sz w:val="22"/>
                <w:szCs w:val="22"/>
              </w:rPr>
              <w:t>20</w:t>
            </w:r>
          </w:p>
        </w:tc>
        <w:tc>
          <w:tcPr>
            <w:tcW w:w="118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211798</w:t>
            </w:r>
          </w:p>
        </w:tc>
        <w:tc>
          <w:tcPr>
            <w:tcW w:w="112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施烁杭</w:t>
            </w:r>
          </w:p>
        </w:tc>
        <w:tc>
          <w:tcPr>
            <w:tcW w:w="79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17</w:t>
            </w:r>
          </w:p>
        </w:tc>
        <w:tc>
          <w:tcPr>
            <w:tcW w:w="1540"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18</w:t>
            </w:r>
            <w:r>
              <w:rPr>
                <w:rFonts w:hint="eastAsia" w:ascii="宋体" w:hAnsi="宋体"/>
                <w:kern w:val="0"/>
                <w:szCs w:val="21"/>
              </w:rPr>
              <w:t>级</w:t>
            </w:r>
            <w:r>
              <w:rPr>
                <w:kern w:val="0"/>
                <w:szCs w:val="21"/>
              </w:rPr>
              <w:t>20</w:t>
            </w:r>
            <w:r>
              <w:rPr>
                <w:rFonts w:hint="eastAsia" w:ascii="宋体" w:hAnsi="宋体"/>
                <w:kern w:val="0"/>
                <w:szCs w:val="21"/>
              </w:rPr>
              <w:t>班</w:t>
            </w:r>
          </w:p>
        </w:tc>
        <w:tc>
          <w:tcPr>
            <w:tcW w:w="2458" w:type="dxa"/>
            <w:tcBorders>
              <w:top w:val="nil"/>
              <w:left w:val="nil"/>
              <w:bottom w:val="single" w:color="auto" w:sz="4" w:space="0"/>
              <w:right w:val="single" w:color="auto" w:sz="4" w:space="0"/>
            </w:tcBorders>
            <w:vAlign w:val="center"/>
          </w:tcPr>
          <w:p>
            <w:pPr>
              <w:widowControl/>
              <w:ind w:firstLine="480"/>
              <w:jc w:val="center"/>
              <w:rPr>
                <w:rFonts w:ascii="宋体" w:hAnsi="宋体" w:cs="宋体"/>
                <w:kern w:val="0"/>
                <w:szCs w:val="21"/>
              </w:rPr>
            </w:pPr>
            <w:r>
              <w:rPr>
                <w:rFonts w:hint="eastAsia" w:ascii="宋体" w:hAnsi="宋体" w:cs="宋体"/>
                <w:kern w:val="0"/>
                <w:szCs w:val="21"/>
              </w:rPr>
              <w:t>色彩卡通</w:t>
            </w:r>
          </w:p>
        </w:tc>
        <w:tc>
          <w:tcPr>
            <w:tcW w:w="1574" w:type="dxa"/>
            <w:tcBorders>
              <w:top w:val="nil"/>
              <w:left w:val="nil"/>
              <w:bottom w:val="single" w:color="auto" w:sz="4" w:space="0"/>
              <w:right w:val="single" w:color="auto" w:sz="4" w:space="0"/>
            </w:tcBorders>
            <w:noWrap/>
            <w:vAlign w:val="center"/>
          </w:tcPr>
          <w:p>
            <w:pPr>
              <w:widowControl/>
              <w:ind w:firstLine="480"/>
              <w:jc w:val="center"/>
              <w:rPr>
                <w:rFonts w:ascii="宋体" w:hAnsi="宋体" w:cs="宋体"/>
                <w:kern w:val="0"/>
                <w:szCs w:val="21"/>
              </w:rPr>
            </w:pPr>
            <w:r>
              <w:rPr>
                <w:rFonts w:hint="eastAsia" w:ascii="宋体" w:hAnsi="宋体" w:cs="宋体"/>
                <w:kern w:val="0"/>
                <w:szCs w:val="21"/>
              </w:rPr>
              <w:t>刘丹曼</w:t>
            </w:r>
          </w:p>
        </w:tc>
      </w:tr>
      <w:tr>
        <w:tblPrEx>
          <w:tblCellMar>
            <w:top w:w="0" w:type="dxa"/>
            <w:left w:w="108" w:type="dxa"/>
            <w:bottom w:w="0" w:type="dxa"/>
            <w:right w:w="108" w:type="dxa"/>
          </w:tblCellMar>
        </w:tblPrEx>
        <w:trPr>
          <w:trHeight w:val="360" w:hRule="atLeast"/>
        </w:trPr>
        <w:tc>
          <w:tcPr>
            <w:tcW w:w="706" w:type="dxa"/>
            <w:tcBorders>
              <w:top w:val="nil"/>
              <w:left w:val="single" w:color="auto" w:sz="4" w:space="0"/>
              <w:bottom w:val="single" w:color="auto" w:sz="4" w:space="0"/>
              <w:right w:val="single" w:color="auto" w:sz="4" w:space="0"/>
            </w:tcBorders>
            <w:noWrap/>
            <w:vAlign w:val="center"/>
          </w:tcPr>
          <w:p>
            <w:pPr>
              <w:widowControl/>
              <w:ind w:firstLine="0" w:firstLineChars="0"/>
              <w:rPr>
                <w:rFonts w:ascii="宋体" w:hAnsi="宋体" w:cs="宋体"/>
                <w:kern w:val="0"/>
                <w:sz w:val="22"/>
                <w:szCs w:val="22"/>
              </w:rPr>
            </w:pPr>
            <w:r>
              <w:rPr>
                <w:rFonts w:hint="eastAsia" w:ascii="宋体" w:hAnsi="宋体" w:cs="宋体"/>
                <w:kern w:val="0"/>
                <w:sz w:val="22"/>
                <w:szCs w:val="22"/>
              </w:rPr>
              <w:t>21</w:t>
            </w:r>
          </w:p>
        </w:tc>
        <w:tc>
          <w:tcPr>
            <w:tcW w:w="118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211713</w:t>
            </w:r>
          </w:p>
        </w:tc>
        <w:tc>
          <w:tcPr>
            <w:tcW w:w="112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方少慧</w:t>
            </w:r>
          </w:p>
        </w:tc>
        <w:tc>
          <w:tcPr>
            <w:tcW w:w="79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17</w:t>
            </w:r>
          </w:p>
        </w:tc>
        <w:tc>
          <w:tcPr>
            <w:tcW w:w="1540"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18</w:t>
            </w:r>
            <w:r>
              <w:rPr>
                <w:rFonts w:hint="eastAsia" w:ascii="宋体" w:hAnsi="宋体"/>
                <w:kern w:val="0"/>
                <w:szCs w:val="21"/>
              </w:rPr>
              <w:t>级</w:t>
            </w:r>
            <w:r>
              <w:rPr>
                <w:kern w:val="0"/>
                <w:szCs w:val="21"/>
              </w:rPr>
              <w:t>22</w:t>
            </w:r>
            <w:r>
              <w:rPr>
                <w:rFonts w:hint="eastAsia" w:ascii="宋体" w:hAnsi="宋体"/>
                <w:kern w:val="0"/>
                <w:szCs w:val="21"/>
              </w:rPr>
              <w:t>班</w:t>
            </w:r>
          </w:p>
        </w:tc>
        <w:tc>
          <w:tcPr>
            <w:tcW w:w="2458" w:type="dxa"/>
            <w:tcBorders>
              <w:top w:val="nil"/>
              <w:left w:val="nil"/>
              <w:bottom w:val="single" w:color="auto" w:sz="4" w:space="0"/>
              <w:right w:val="single" w:color="auto" w:sz="4" w:space="0"/>
            </w:tcBorders>
            <w:vAlign w:val="center"/>
          </w:tcPr>
          <w:p>
            <w:pPr>
              <w:widowControl/>
              <w:ind w:firstLine="480"/>
              <w:jc w:val="center"/>
              <w:rPr>
                <w:rFonts w:ascii="宋体" w:hAnsi="宋体" w:cs="宋体"/>
                <w:kern w:val="0"/>
                <w:szCs w:val="21"/>
              </w:rPr>
            </w:pPr>
            <w:r>
              <w:rPr>
                <w:rFonts w:hint="eastAsia" w:ascii="宋体" w:hAnsi="宋体" w:cs="宋体"/>
                <w:kern w:val="0"/>
                <w:szCs w:val="21"/>
              </w:rPr>
              <w:t>线描动物</w:t>
            </w:r>
          </w:p>
        </w:tc>
        <w:tc>
          <w:tcPr>
            <w:tcW w:w="1574" w:type="dxa"/>
            <w:tcBorders>
              <w:top w:val="nil"/>
              <w:left w:val="nil"/>
              <w:bottom w:val="single" w:color="auto" w:sz="4" w:space="0"/>
              <w:right w:val="single" w:color="auto" w:sz="4" w:space="0"/>
            </w:tcBorders>
            <w:noWrap/>
            <w:vAlign w:val="center"/>
          </w:tcPr>
          <w:p>
            <w:pPr>
              <w:widowControl/>
              <w:ind w:firstLine="480"/>
              <w:jc w:val="center"/>
              <w:rPr>
                <w:rFonts w:ascii="宋体" w:hAnsi="宋体" w:cs="宋体"/>
                <w:kern w:val="0"/>
                <w:szCs w:val="21"/>
              </w:rPr>
            </w:pPr>
            <w:r>
              <w:rPr>
                <w:rFonts w:hint="eastAsia" w:ascii="宋体" w:hAnsi="宋体" w:cs="宋体"/>
                <w:kern w:val="0"/>
                <w:szCs w:val="21"/>
              </w:rPr>
              <w:t>刘丹曼</w:t>
            </w:r>
          </w:p>
        </w:tc>
      </w:tr>
      <w:tr>
        <w:tblPrEx>
          <w:tblCellMar>
            <w:top w:w="0" w:type="dxa"/>
            <w:left w:w="108" w:type="dxa"/>
            <w:bottom w:w="0" w:type="dxa"/>
            <w:right w:w="108" w:type="dxa"/>
          </w:tblCellMar>
        </w:tblPrEx>
        <w:trPr>
          <w:trHeight w:val="360" w:hRule="atLeast"/>
        </w:trPr>
        <w:tc>
          <w:tcPr>
            <w:tcW w:w="706" w:type="dxa"/>
            <w:tcBorders>
              <w:top w:val="nil"/>
              <w:left w:val="single" w:color="auto" w:sz="4" w:space="0"/>
              <w:bottom w:val="single" w:color="auto" w:sz="4" w:space="0"/>
              <w:right w:val="single" w:color="auto" w:sz="4" w:space="0"/>
            </w:tcBorders>
            <w:noWrap/>
            <w:vAlign w:val="center"/>
          </w:tcPr>
          <w:p>
            <w:pPr>
              <w:widowControl/>
              <w:ind w:firstLine="0" w:firstLineChars="0"/>
              <w:rPr>
                <w:rFonts w:ascii="宋体" w:hAnsi="宋体" w:cs="宋体"/>
                <w:kern w:val="0"/>
                <w:sz w:val="22"/>
                <w:szCs w:val="22"/>
              </w:rPr>
            </w:pPr>
            <w:r>
              <w:rPr>
                <w:rFonts w:hint="eastAsia" w:ascii="宋体" w:hAnsi="宋体" w:cs="宋体"/>
                <w:kern w:val="0"/>
                <w:sz w:val="22"/>
                <w:szCs w:val="22"/>
              </w:rPr>
              <w:t>22</w:t>
            </w:r>
          </w:p>
        </w:tc>
        <w:tc>
          <w:tcPr>
            <w:tcW w:w="118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211680</w:t>
            </w:r>
          </w:p>
        </w:tc>
        <w:tc>
          <w:tcPr>
            <w:tcW w:w="112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陈烁英</w:t>
            </w:r>
          </w:p>
        </w:tc>
        <w:tc>
          <w:tcPr>
            <w:tcW w:w="79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17</w:t>
            </w:r>
          </w:p>
        </w:tc>
        <w:tc>
          <w:tcPr>
            <w:tcW w:w="1540"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18</w:t>
            </w:r>
            <w:r>
              <w:rPr>
                <w:rFonts w:hint="eastAsia" w:ascii="宋体" w:hAnsi="宋体"/>
                <w:kern w:val="0"/>
                <w:szCs w:val="21"/>
              </w:rPr>
              <w:t>级</w:t>
            </w:r>
            <w:r>
              <w:rPr>
                <w:kern w:val="0"/>
                <w:szCs w:val="21"/>
              </w:rPr>
              <w:t>20</w:t>
            </w:r>
            <w:r>
              <w:rPr>
                <w:rFonts w:hint="eastAsia" w:ascii="宋体" w:hAnsi="宋体"/>
                <w:kern w:val="0"/>
                <w:szCs w:val="21"/>
              </w:rPr>
              <w:t>班</w:t>
            </w:r>
          </w:p>
        </w:tc>
        <w:tc>
          <w:tcPr>
            <w:tcW w:w="2458" w:type="dxa"/>
            <w:tcBorders>
              <w:top w:val="nil"/>
              <w:left w:val="nil"/>
              <w:bottom w:val="single" w:color="auto" w:sz="4" w:space="0"/>
              <w:right w:val="single" w:color="auto" w:sz="4" w:space="0"/>
            </w:tcBorders>
            <w:vAlign w:val="center"/>
          </w:tcPr>
          <w:p>
            <w:pPr>
              <w:widowControl/>
              <w:ind w:firstLine="480"/>
              <w:jc w:val="center"/>
              <w:rPr>
                <w:rFonts w:ascii="宋体" w:hAnsi="宋体" w:cs="宋体"/>
                <w:kern w:val="0"/>
                <w:szCs w:val="21"/>
              </w:rPr>
            </w:pPr>
            <w:r>
              <w:rPr>
                <w:rFonts w:hint="eastAsia" w:ascii="宋体" w:hAnsi="宋体" w:cs="宋体"/>
                <w:kern w:val="0"/>
                <w:szCs w:val="21"/>
              </w:rPr>
              <w:t>色彩人物</w:t>
            </w:r>
          </w:p>
        </w:tc>
        <w:tc>
          <w:tcPr>
            <w:tcW w:w="1574" w:type="dxa"/>
            <w:tcBorders>
              <w:top w:val="nil"/>
              <w:left w:val="nil"/>
              <w:bottom w:val="single" w:color="auto" w:sz="4" w:space="0"/>
              <w:right w:val="single" w:color="auto" w:sz="4" w:space="0"/>
            </w:tcBorders>
            <w:noWrap/>
            <w:vAlign w:val="center"/>
          </w:tcPr>
          <w:p>
            <w:pPr>
              <w:widowControl/>
              <w:ind w:firstLine="480"/>
              <w:jc w:val="center"/>
              <w:rPr>
                <w:rFonts w:ascii="宋体" w:hAnsi="宋体" w:cs="宋体"/>
                <w:kern w:val="0"/>
                <w:szCs w:val="21"/>
              </w:rPr>
            </w:pPr>
            <w:r>
              <w:rPr>
                <w:rFonts w:hint="eastAsia" w:ascii="宋体" w:hAnsi="宋体" w:cs="宋体"/>
                <w:kern w:val="0"/>
                <w:szCs w:val="21"/>
              </w:rPr>
              <w:t>刘丹曼</w:t>
            </w:r>
          </w:p>
        </w:tc>
      </w:tr>
      <w:tr>
        <w:tblPrEx>
          <w:tblCellMar>
            <w:top w:w="0" w:type="dxa"/>
            <w:left w:w="108" w:type="dxa"/>
            <w:bottom w:w="0" w:type="dxa"/>
            <w:right w:w="108" w:type="dxa"/>
          </w:tblCellMar>
        </w:tblPrEx>
        <w:trPr>
          <w:trHeight w:val="360" w:hRule="atLeast"/>
        </w:trPr>
        <w:tc>
          <w:tcPr>
            <w:tcW w:w="706" w:type="dxa"/>
            <w:tcBorders>
              <w:top w:val="nil"/>
              <w:left w:val="single" w:color="auto" w:sz="4" w:space="0"/>
              <w:bottom w:val="single" w:color="auto" w:sz="4" w:space="0"/>
              <w:right w:val="single" w:color="auto" w:sz="4" w:space="0"/>
            </w:tcBorders>
            <w:noWrap/>
            <w:vAlign w:val="center"/>
          </w:tcPr>
          <w:p>
            <w:pPr>
              <w:widowControl/>
              <w:ind w:firstLine="0" w:firstLineChars="0"/>
              <w:rPr>
                <w:rFonts w:ascii="宋体" w:hAnsi="宋体" w:cs="宋体"/>
                <w:kern w:val="0"/>
                <w:sz w:val="22"/>
                <w:szCs w:val="22"/>
              </w:rPr>
            </w:pPr>
            <w:r>
              <w:rPr>
                <w:rFonts w:hint="eastAsia" w:ascii="宋体" w:hAnsi="宋体" w:cs="宋体"/>
                <w:kern w:val="0"/>
                <w:sz w:val="22"/>
                <w:szCs w:val="22"/>
              </w:rPr>
              <w:t>23</w:t>
            </w:r>
          </w:p>
        </w:tc>
        <w:tc>
          <w:tcPr>
            <w:tcW w:w="118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211695</w:t>
            </w:r>
          </w:p>
        </w:tc>
        <w:tc>
          <w:tcPr>
            <w:tcW w:w="112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沈培妮</w:t>
            </w:r>
          </w:p>
        </w:tc>
        <w:tc>
          <w:tcPr>
            <w:tcW w:w="79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16</w:t>
            </w:r>
          </w:p>
        </w:tc>
        <w:tc>
          <w:tcPr>
            <w:tcW w:w="1540"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18</w:t>
            </w:r>
            <w:r>
              <w:rPr>
                <w:rFonts w:hint="eastAsia" w:ascii="宋体" w:hAnsi="宋体"/>
                <w:kern w:val="0"/>
                <w:szCs w:val="21"/>
              </w:rPr>
              <w:t>级</w:t>
            </w:r>
            <w:r>
              <w:rPr>
                <w:kern w:val="0"/>
                <w:szCs w:val="21"/>
              </w:rPr>
              <w:t>22</w:t>
            </w:r>
            <w:r>
              <w:rPr>
                <w:rFonts w:hint="eastAsia" w:ascii="宋体" w:hAnsi="宋体"/>
                <w:kern w:val="0"/>
                <w:szCs w:val="21"/>
              </w:rPr>
              <w:t>班</w:t>
            </w:r>
          </w:p>
        </w:tc>
        <w:tc>
          <w:tcPr>
            <w:tcW w:w="2458" w:type="dxa"/>
            <w:tcBorders>
              <w:top w:val="nil"/>
              <w:left w:val="nil"/>
              <w:bottom w:val="single" w:color="auto" w:sz="4" w:space="0"/>
              <w:right w:val="single" w:color="auto" w:sz="4" w:space="0"/>
            </w:tcBorders>
            <w:vAlign w:val="center"/>
          </w:tcPr>
          <w:p>
            <w:pPr>
              <w:widowControl/>
              <w:ind w:firstLine="480"/>
              <w:jc w:val="center"/>
              <w:rPr>
                <w:rFonts w:ascii="宋体" w:hAnsi="宋体" w:cs="宋体"/>
                <w:kern w:val="0"/>
                <w:szCs w:val="21"/>
              </w:rPr>
            </w:pPr>
            <w:r>
              <w:rPr>
                <w:rFonts w:hint="eastAsia" w:ascii="宋体" w:hAnsi="宋体" w:cs="宋体"/>
                <w:kern w:val="0"/>
                <w:szCs w:val="21"/>
              </w:rPr>
              <w:t>色彩动漫</w:t>
            </w:r>
          </w:p>
        </w:tc>
        <w:tc>
          <w:tcPr>
            <w:tcW w:w="1574" w:type="dxa"/>
            <w:tcBorders>
              <w:top w:val="nil"/>
              <w:left w:val="nil"/>
              <w:bottom w:val="single" w:color="auto" w:sz="4" w:space="0"/>
              <w:right w:val="single" w:color="auto" w:sz="4" w:space="0"/>
            </w:tcBorders>
            <w:noWrap/>
            <w:vAlign w:val="center"/>
          </w:tcPr>
          <w:p>
            <w:pPr>
              <w:widowControl/>
              <w:ind w:firstLine="480"/>
              <w:jc w:val="center"/>
              <w:rPr>
                <w:rFonts w:ascii="宋体" w:hAnsi="宋体" w:cs="宋体"/>
                <w:kern w:val="0"/>
                <w:szCs w:val="21"/>
              </w:rPr>
            </w:pPr>
            <w:r>
              <w:rPr>
                <w:rFonts w:hint="eastAsia" w:ascii="宋体" w:hAnsi="宋体" w:cs="宋体"/>
                <w:kern w:val="0"/>
                <w:szCs w:val="21"/>
              </w:rPr>
              <w:t>刘丹曼</w:t>
            </w:r>
          </w:p>
        </w:tc>
      </w:tr>
      <w:tr>
        <w:tblPrEx>
          <w:tblCellMar>
            <w:top w:w="0" w:type="dxa"/>
            <w:left w:w="108" w:type="dxa"/>
            <w:bottom w:w="0" w:type="dxa"/>
            <w:right w:w="108" w:type="dxa"/>
          </w:tblCellMar>
        </w:tblPrEx>
        <w:trPr>
          <w:trHeight w:val="360" w:hRule="atLeast"/>
        </w:trPr>
        <w:tc>
          <w:tcPr>
            <w:tcW w:w="706" w:type="dxa"/>
            <w:tcBorders>
              <w:top w:val="nil"/>
              <w:left w:val="single" w:color="auto" w:sz="4" w:space="0"/>
              <w:bottom w:val="single" w:color="auto" w:sz="4" w:space="0"/>
              <w:right w:val="single" w:color="auto" w:sz="4" w:space="0"/>
            </w:tcBorders>
            <w:noWrap/>
            <w:vAlign w:val="center"/>
          </w:tcPr>
          <w:p>
            <w:pPr>
              <w:widowControl/>
              <w:ind w:firstLine="0" w:firstLineChars="0"/>
              <w:rPr>
                <w:rFonts w:ascii="宋体" w:hAnsi="宋体" w:cs="宋体"/>
                <w:kern w:val="0"/>
                <w:sz w:val="22"/>
                <w:szCs w:val="22"/>
              </w:rPr>
            </w:pPr>
            <w:r>
              <w:rPr>
                <w:rFonts w:hint="eastAsia" w:ascii="宋体" w:hAnsi="宋体" w:cs="宋体"/>
                <w:kern w:val="0"/>
                <w:sz w:val="22"/>
                <w:szCs w:val="22"/>
              </w:rPr>
              <w:t>24</w:t>
            </w:r>
          </w:p>
        </w:tc>
        <w:tc>
          <w:tcPr>
            <w:tcW w:w="118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211674</w:t>
            </w:r>
          </w:p>
        </w:tc>
        <w:tc>
          <w:tcPr>
            <w:tcW w:w="112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林晓燕</w:t>
            </w:r>
          </w:p>
        </w:tc>
        <w:tc>
          <w:tcPr>
            <w:tcW w:w="79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16</w:t>
            </w:r>
          </w:p>
        </w:tc>
        <w:tc>
          <w:tcPr>
            <w:tcW w:w="1540"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18</w:t>
            </w:r>
            <w:r>
              <w:rPr>
                <w:rFonts w:hint="eastAsia" w:ascii="宋体" w:hAnsi="宋体"/>
                <w:kern w:val="0"/>
                <w:szCs w:val="21"/>
              </w:rPr>
              <w:t>级</w:t>
            </w:r>
            <w:r>
              <w:rPr>
                <w:kern w:val="0"/>
                <w:szCs w:val="21"/>
              </w:rPr>
              <w:t>22</w:t>
            </w:r>
            <w:r>
              <w:rPr>
                <w:rFonts w:hint="eastAsia" w:ascii="宋体" w:hAnsi="宋体"/>
                <w:kern w:val="0"/>
                <w:szCs w:val="21"/>
              </w:rPr>
              <w:t>班</w:t>
            </w:r>
          </w:p>
        </w:tc>
        <w:tc>
          <w:tcPr>
            <w:tcW w:w="2458" w:type="dxa"/>
            <w:tcBorders>
              <w:top w:val="nil"/>
              <w:left w:val="nil"/>
              <w:bottom w:val="single" w:color="auto" w:sz="4" w:space="0"/>
              <w:right w:val="single" w:color="auto" w:sz="4" w:space="0"/>
            </w:tcBorders>
            <w:vAlign w:val="center"/>
          </w:tcPr>
          <w:p>
            <w:pPr>
              <w:widowControl/>
              <w:ind w:firstLine="480"/>
              <w:jc w:val="center"/>
              <w:rPr>
                <w:rFonts w:ascii="宋体" w:hAnsi="宋体" w:cs="宋体"/>
                <w:kern w:val="0"/>
                <w:szCs w:val="21"/>
              </w:rPr>
            </w:pPr>
            <w:r>
              <w:rPr>
                <w:rFonts w:hint="eastAsia" w:ascii="宋体" w:hAnsi="宋体" w:cs="宋体"/>
                <w:kern w:val="0"/>
                <w:szCs w:val="21"/>
              </w:rPr>
              <w:t>动漫人物</w:t>
            </w:r>
          </w:p>
        </w:tc>
        <w:tc>
          <w:tcPr>
            <w:tcW w:w="1574" w:type="dxa"/>
            <w:tcBorders>
              <w:top w:val="nil"/>
              <w:left w:val="nil"/>
              <w:bottom w:val="single" w:color="auto" w:sz="4" w:space="0"/>
              <w:right w:val="single" w:color="auto" w:sz="4" w:space="0"/>
            </w:tcBorders>
            <w:noWrap/>
            <w:vAlign w:val="center"/>
          </w:tcPr>
          <w:p>
            <w:pPr>
              <w:widowControl/>
              <w:ind w:firstLine="480"/>
              <w:jc w:val="center"/>
              <w:rPr>
                <w:rFonts w:ascii="宋体" w:hAnsi="宋体" w:cs="宋体"/>
                <w:kern w:val="0"/>
                <w:szCs w:val="21"/>
              </w:rPr>
            </w:pPr>
            <w:r>
              <w:rPr>
                <w:rFonts w:hint="eastAsia" w:ascii="宋体" w:hAnsi="宋体" w:cs="宋体"/>
                <w:kern w:val="0"/>
                <w:szCs w:val="21"/>
              </w:rPr>
              <w:t>刘丹曼</w:t>
            </w:r>
          </w:p>
        </w:tc>
      </w:tr>
      <w:tr>
        <w:trPr>
          <w:trHeight w:val="360" w:hRule="atLeast"/>
        </w:trPr>
        <w:tc>
          <w:tcPr>
            <w:tcW w:w="706" w:type="dxa"/>
            <w:tcBorders>
              <w:top w:val="nil"/>
              <w:left w:val="single" w:color="auto" w:sz="4" w:space="0"/>
              <w:bottom w:val="single" w:color="auto" w:sz="4" w:space="0"/>
              <w:right w:val="single" w:color="auto" w:sz="4" w:space="0"/>
            </w:tcBorders>
            <w:noWrap/>
            <w:vAlign w:val="center"/>
          </w:tcPr>
          <w:p>
            <w:pPr>
              <w:widowControl/>
              <w:ind w:firstLine="0" w:firstLineChars="0"/>
              <w:rPr>
                <w:rFonts w:ascii="宋体" w:hAnsi="宋体" w:cs="宋体"/>
                <w:kern w:val="0"/>
                <w:sz w:val="22"/>
                <w:szCs w:val="22"/>
              </w:rPr>
            </w:pPr>
            <w:r>
              <w:rPr>
                <w:rFonts w:hint="eastAsia" w:ascii="宋体" w:hAnsi="宋体" w:cs="宋体"/>
                <w:kern w:val="0"/>
                <w:sz w:val="22"/>
                <w:szCs w:val="22"/>
              </w:rPr>
              <w:t>25</w:t>
            </w:r>
          </w:p>
        </w:tc>
        <w:tc>
          <w:tcPr>
            <w:tcW w:w="118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211713</w:t>
            </w:r>
          </w:p>
        </w:tc>
        <w:tc>
          <w:tcPr>
            <w:tcW w:w="112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方少慧</w:t>
            </w:r>
          </w:p>
        </w:tc>
        <w:tc>
          <w:tcPr>
            <w:tcW w:w="79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17</w:t>
            </w:r>
          </w:p>
        </w:tc>
        <w:tc>
          <w:tcPr>
            <w:tcW w:w="1540"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18</w:t>
            </w:r>
            <w:r>
              <w:rPr>
                <w:rFonts w:hint="eastAsia" w:ascii="宋体" w:hAnsi="宋体"/>
                <w:kern w:val="0"/>
                <w:szCs w:val="21"/>
              </w:rPr>
              <w:t>级</w:t>
            </w:r>
            <w:r>
              <w:rPr>
                <w:kern w:val="0"/>
                <w:szCs w:val="21"/>
              </w:rPr>
              <w:t>22</w:t>
            </w:r>
            <w:r>
              <w:rPr>
                <w:rFonts w:hint="eastAsia" w:ascii="宋体" w:hAnsi="宋体"/>
                <w:kern w:val="0"/>
                <w:szCs w:val="21"/>
              </w:rPr>
              <w:t>班</w:t>
            </w:r>
          </w:p>
        </w:tc>
        <w:tc>
          <w:tcPr>
            <w:tcW w:w="2458" w:type="dxa"/>
            <w:tcBorders>
              <w:top w:val="nil"/>
              <w:left w:val="nil"/>
              <w:bottom w:val="single" w:color="auto" w:sz="4" w:space="0"/>
              <w:right w:val="single" w:color="auto" w:sz="4" w:space="0"/>
            </w:tcBorders>
            <w:vAlign w:val="center"/>
          </w:tcPr>
          <w:p>
            <w:pPr>
              <w:widowControl/>
              <w:ind w:firstLine="480"/>
              <w:jc w:val="center"/>
              <w:rPr>
                <w:rFonts w:ascii="宋体" w:hAnsi="宋体" w:cs="宋体"/>
                <w:kern w:val="0"/>
                <w:szCs w:val="21"/>
              </w:rPr>
            </w:pPr>
            <w:r>
              <w:rPr>
                <w:rFonts w:hint="eastAsia" w:ascii="宋体" w:hAnsi="宋体" w:cs="宋体"/>
                <w:kern w:val="0"/>
                <w:szCs w:val="21"/>
              </w:rPr>
              <w:t>线描装饰画</w:t>
            </w:r>
          </w:p>
        </w:tc>
        <w:tc>
          <w:tcPr>
            <w:tcW w:w="1574" w:type="dxa"/>
            <w:tcBorders>
              <w:top w:val="nil"/>
              <w:left w:val="nil"/>
              <w:bottom w:val="single" w:color="auto" w:sz="4" w:space="0"/>
              <w:right w:val="single" w:color="auto" w:sz="4" w:space="0"/>
            </w:tcBorders>
            <w:noWrap/>
            <w:vAlign w:val="center"/>
          </w:tcPr>
          <w:p>
            <w:pPr>
              <w:widowControl/>
              <w:ind w:firstLine="480"/>
              <w:jc w:val="center"/>
              <w:rPr>
                <w:rFonts w:ascii="宋体" w:hAnsi="宋体" w:cs="宋体"/>
                <w:kern w:val="0"/>
                <w:szCs w:val="21"/>
              </w:rPr>
            </w:pPr>
            <w:r>
              <w:rPr>
                <w:rFonts w:hint="eastAsia" w:ascii="宋体" w:hAnsi="宋体" w:cs="宋体"/>
                <w:kern w:val="0"/>
                <w:szCs w:val="21"/>
              </w:rPr>
              <w:t>刘丹曼</w:t>
            </w:r>
          </w:p>
        </w:tc>
      </w:tr>
      <w:tr>
        <w:tblPrEx>
          <w:tblCellMar>
            <w:top w:w="0" w:type="dxa"/>
            <w:left w:w="108" w:type="dxa"/>
            <w:bottom w:w="0" w:type="dxa"/>
            <w:right w:w="108" w:type="dxa"/>
          </w:tblCellMar>
        </w:tblPrEx>
        <w:trPr>
          <w:trHeight w:val="360" w:hRule="atLeast"/>
        </w:trPr>
        <w:tc>
          <w:tcPr>
            <w:tcW w:w="706" w:type="dxa"/>
            <w:tcBorders>
              <w:top w:val="nil"/>
              <w:left w:val="single" w:color="auto" w:sz="4" w:space="0"/>
              <w:bottom w:val="single" w:color="auto" w:sz="4" w:space="0"/>
              <w:right w:val="single" w:color="auto" w:sz="4" w:space="0"/>
            </w:tcBorders>
            <w:noWrap/>
            <w:vAlign w:val="center"/>
          </w:tcPr>
          <w:p>
            <w:pPr>
              <w:widowControl/>
              <w:ind w:firstLine="0" w:firstLineChars="0"/>
              <w:rPr>
                <w:rFonts w:ascii="宋体" w:hAnsi="宋体" w:cs="宋体"/>
                <w:kern w:val="0"/>
                <w:sz w:val="22"/>
                <w:szCs w:val="22"/>
              </w:rPr>
            </w:pPr>
            <w:r>
              <w:rPr>
                <w:rFonts w:hint="eastAsia" w:ascii="宋体" w:hAnsi="宋体" w:cs="宋体"/>
                <w:kern w:val="0"/>
                <w:sz w:val="22"/>
                <w:szCs w:val="22"/>
              </w:rPr>
              <w:t>26</w:t>
            </w:r>
          </w:p>
        </w:tc>
        <w:tc>
          <w:tcPr>
            <w:tcW w:w="118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211692</w:t>
            </w:r>
          </w:p>
        </w:tc>
        <w:tc>
          <w:tcPr>
            <w:tcW w:w="112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陈依曼</w:t>
            </w:r>
          </w:p>
        </w:tc>
        <w:tc>
          <w:tcPr>
            <w:tcW w:w="79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17</w:t>
            </w:r>
          </w:p>
        </w:tc>
        <w:tc>
          <w:tcPr>
            <w:tcW w:w="1540"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18</w:t>
            </w:r>
            <w:r>
              <w:rPr>
                <w:rFonts w:hint="eastAsia" w:ascii="宋体" w:hAnsi="宋体"/>
                <w:kern w:val="0"/>
                <w:szCs w:val="21"/>
              </w:rPr>
              <w:t>级</w:t>
            </w:r>
            <w:r>
              <w:rPr>
                <w:kern w:val="0"/>
                <w:szCs w:val="21"/>
              </w:rPr>
              <w:t>21</w:t>
            </w:r>
            <w:r>
              <w:rPr>
                <w:rFonts w:hint="eastAsia" w:ascii="宋体" w:hAnsi="宋体"/>
                <w:kern w:val="0"/>
                <w:szCs w:val="21"/>
              </w:rPr>
              <w:t>班</w:t>
            </w:r>
          </w:p>
        </w:tc>
        <w:tc>
          <w:tcPr>
            <w:tcW w:w="2458" w:type="dxa"/>
            <w:tcBorders>
              <w:top w:val="nil"/>
              <w:left w:val="nil"/>
              <w:bottom w:val="single" w:color="auto" w:sz="4" w:space="0"/>
              <w:right w:val="single" w:color="auto" w:sz="4" w:space="0"/>
            </w:tcBorders>
            <w:vAlign w:val="center"/>
          </w:tcPr>
          <w:p>
            <w:pPr>
              <w:widowControl/>
              <w:ind w:firstLine="480"/>
              <w:jc w:val="center"/>
              <w:rPr>
                <w:rFonts w:ascii="宋体" w:hAnsi="宋体" w:cs="宋体"/>
                <w:kern w:val="0"/>
                <w:szCs w:val="21"/>
              </w:rPr>
            </w:pPr>
            <w:r>
              <w:rPr>
                <w:rFonts w:hint="eastAsia" w:ascii="宋体" w:hAnsi="宋体" w:cs="宋体"/>
                <w:kern w:val="0"/>
                <w:szCs w:val="21"/>
              </w:rPr>
              <w:t>色彩动漫</w:t>
            </w:r>
          </w:p>
        </w:tc>
        <w:tc>
          <w:tcPr>
            <w:tcW w:w="1574" w:type="dxa"/>
            <w:tcBorders>
              <w:top w:val="nil"/>
              <w:left w:val="nil"/>
              <w:bottom w:val="single" w:color="auto" w:sz="4" w:space="0"/>
              <w:right w:val="single" w:color="auto" w:sz="4" w:space="0"/>
            </w:tcBorders>
            <w:noWrap/>
            <w:vAlign w:val="center"/>
          </w:tcPr>
          <w:p>
            <w:pPr>
              <w:widowControl/>
              <w:ind w:firstLine="480"/>
              <w:jc w:val="center"/>
              <w:rPr>
                <w:rFonts w:ascii="宋体" w:hAnsi="宋体" w:cs="宋体"/>
                <w:kern w:val="0"/>
                <w:szCs w:val="21"/>
              </w:rPr>
            </w:pPr>
            <w:r>
              <w:rPr>
                <w:rFonts w:hint="eastAsia" w:ascii="宋体" w:hAnsi="宋体" w:cs="宋体"/>
                <w:kern w:val="0"/>
                <w:szCs w:val="21"/>
              </w:rPr>
              <w:t>刘丹曼</w:t>
            </w:r>
          </w:p>
        </w:tc>
      </w:tr>
      <w:tr>
        <w:tblPrEx>
          <w:tblCellMar>
            <w:top w:w="0" w:type="dxa"/>
            <w:left w:w="108" w:type="dxa"/>
            <w:bottom w:w="0" w:type="dxa"/>
            <w:right w:w="108" w:type="dxa"/>
          </w:tblCellMar>
        </w:tblPrEx>
        <w:trPr>
          <w:trHeight w:val="360" w:hRule="atLeast"/>
        </w:trPr>
        <w:tc>
          <w:tcPr>
            <w:tcW w:w="706" w:type="dxa"/>
            <w:tcBorders>
              <w:top w:val="nil"/>
              <w:left w:val="single" w:color="auto" w:sz="4" w:space="0"/>
              <w:bottom w:val="single" w:color="auto" w:sz="4" w:space="0"/>
              <w:right w:val="single" w:color="auto" w:sz="4" w:space="0"/>
            </w:tcBorders>
            <w:noWrap/>
            <w:vAlign w:val="center"/>
          </w:tcPr>
          <w:p>
            <w:pPr>
              <w:widowControl/>
              <w:ind w:firstLine="0" w:firstLineChars="0"/>
              <w:rPr>
                <w:rFonts w:ascii="宋体" w:hAnsi="宋体" w:cs="宋体"/>
                <w:kern w:val="0"/>
                <w:sz w:val="22"/>
                <w:szCs w:val="22"/>
              </w:rPr>
            </w:pPr>
            <w:r>
              <w:rPr>
                <w:rFonts w:hint="eastAsia" w:ascii="宋体" w:hAnsi="宋体" w:cs="宋体"/>
                <w:kern w:val="0"/>
                <w:sz w:val="22"/>
                <w:szCs w:val="22"/>
              </w:rPr>
              <w:t>27</w:t>
            </w:r>
          </w:p>
        </w:tc>
        <w:tc>
          <w:tcPr>
            <w:tcW w:w="118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211760</w:t>
            </w:r>
          </w:p>
        </w:tc>
        <w:tc>
          <w:tcPr>
            <w:tcW w:w="112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魏绮彤</w:t>
            </w:r>
          </w:p>
        </w:tc>
        <w:tc>
          <w:tcPr>
            <w:tcW w:w="79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17</w:t>
            </w:r>
          </w:p>
        </w:tc>
        <w:tc>
          <w:tcPr>
            <w:tcW w:w="1540"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18</w:t>
            </w:r>
            <w:r>
              <w:rPr>
                <w:rFonts w:hint="eastAsia" w:ascii="宋体" w:hAnsi="宋体"/>
                <w:kern w:val="0"/>
                <w:szCs w:val="21"/>
              </w:rPr>
              <w:t>级</w:t>
            </w:r>
            <w:r>
              <w:rPr>
                <w:kern w:val="0"/>
                <w:szCs w:val="21"/>
              </w:rPr>
              <w:t>21</w:t>
            </w:r>
            <w:r>
              <w:rPr>
                <w:rFonts w:hint="eastAsia" w:ascii="宋体" w:hAnsi="宋体"/>
                <w:kern w:val="0"/>
                <w:szCs w:val="21"/>
              </w:rPr>
              <w:t>班</w:t>
            </w:r>
          </w:p>
        </w:tc>
        <w:tc>
          <w:tcPr>
            <w:tcW w:w="2458" w:type="dxa"/>
            <w:tcBorders>
              <w:top w:val="nil"/>
              <w:left w:val="nil"/>
              <w:bottom w:val="single" w:color="auto" w:sz="4" w:space="0"/>
              <w:right w:val="single" w:color="auto" w:sz="4" w:space="0"/>
            </w:tcBorders>
            <w:vAlign w:val="center"/>
          </w:tcPr>
          <w:p>
            <w:pPr>
              <w:widowControl/>
              <w:ind w:firstLine="480"/>
              <w:jc w:val="center"/>
              <w:rPr>
                <w:rFonts w:ascii="宋体" w:hAnsi="宋体" w:cs="宋体"/>
                <w:kern w:val="0"/>
                <w:szCs w:val="21"/>
              </w:rPr>
            </w:pPr>
            <w:r>
              <w:rPr>
                <w:rFonts w:hint="eastAsia" w:ascii="宋体" w:hAnsi="宋体" w:cs="宋体"/>
                <w:kern w:val="0"/>
                <w:szCs w:val="21"/>
              </w:rPr>
              <w:t>动漫人物</w:t>
            </w:r>
          </w:p>
        </w:tc>
        <w:tc>
          <w:tcPr>
            <w:tcW w:w="1574" w:type="dxa"/>
            <w:tcBorders>
              <w:top w:val="nil"/>
              <w:left w:val="nil"/>
              <w:bottom w:val="single" w:color="auto" w:sz="4" w:space="0"/>
              <w:right w:val="single" w:color="auto" w:sz="4" w:space="0"/>
            </w:tcBorders>
            <w:noWrap/>
            <w:vAlign w:val="center"/>
          </w:tcPr>
          <w:p>
            <w:pPr>
              <w:widowControl/>
              <w:ind w:firstLine="480"/>
              <w:jc w:val="center"/>
              <w:rPr>
                <w:rFonts w:ascii="宋体" w:hAnsi="宋体" w:cs="宋体"/>
                <w:kern w:val="0"/>
                <w:szCs w:val="21"/>
              </w:rPr>
            </w:pPr>
            <w:r>
              <w:rPr>
                <w:rFonts w:hint="eastAsia" w:ascii="宋体" w:hAnsi="宋体" w:cs="宋体"/>
                <w:kern w:val="0"/>
                <w:szCs w:val="21"/>
              </w:rPr>
              <w:t>刘丹曼</w:t>
            </w:r>
          </w:p>
        </w:tc>
      </w:tr>
      <w:tr>
        <w:tblPrEx>
          <w:tblCellMar>
            <w:top w:w="0" w:type="dxa"/>
            <w:left w:w="108" w:type="dxa"/>
            <w:bottom w:w="0" w:type="dxa"/>
            <w:right w:w="108" w:type="dxa"/>
          </w:tblCellMar>
        </w:tblPrEx>
        <w:trPr>
          <w:trHeight w:val="360" w:hRule="atLeast"/>
        </w:trPr>
        <w:tc>
          <w:tcPr>
            <w:tcW w:w="706" w:type="dxa"/>
            <w:tcBorders>
              <w:top w:val="nil"/>
              <w:left w:val="single" w:color="auto" w:sz="4" w:space="0"/>
              <w:bottom w:val="single" w:color="auto" w:sz="4" w:space="0"/>
              <w:right w:val="single" w:color="auto" w:sz="4" w:space="0"/>
            </w:tcBorders>
            <w:noWrap/>
            <w:vAlign w:val="center"/>
          </w:tcPr>
          <w:p>
            <w:pPr>
              <w:widowControl/>
              <w:ind w:firstLine="0" w:firstLineChars="0"/>
              <w:rPr>
                <w:rFonts w:ascii="宋体" w:hAnsi="宋体" w:cs="宋体"/>
                <w:kern w:val="0"/>
                <w:sz w:val="22"/>
                <w:szCs w:val="22"/>
              </w:rPr>
            </w:pPr>
            <w:r>
              <w:rPr>
                <w:rFonts w:hint="eastAsia" w:ascii="宋体" w:hAnsi="宋体" w:cs="宋体"/>
                <w:kern w:val="0"/>
                <w:sz w:val="22"/>
                <w:szCs w:val="22"/>
              </w:rPr>
              <w:t>28</w:t>
            </w:r>
          </w:p>
        </w:tc>
        <w:tc>
          <w:tcPr>
            <w:tcW w:w="118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211685</w:t>
            </w:r>
          </w:p>
        </w:tc>
        <w:tc>
          <w:tcPr>
            <w:tcW w:w="112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钟烁芬</w:t>
            </w:r>
          </w:p>
        </w:tc>
        <w:tc>
          <w:tcPr>
            <w:tcW w:w="79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17</w:t>
            </w:r>
          </w:p>
        </w:tc>
        <w:tc>
          <w:tcPr>
            <w:tcW w:w="1540"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18</w:t>
            </w:r>
            <w:r>
              <w:rPr>
                <w:rFonts w:hint="eastAsia" w:ascii="宋体" w:hAnsi="宋体"/>
                <w:kern w:val="0"/>
                <w:szCs w:val="21"/>
              </w:rPr>
              <w:t>级</w:t>
            </w:r>
            <w:r>
              <w:rPr>
                <w:kern w:val="0"/>
                <w:szCs w:val="21"/>
              </w:rPr>
              <w:t>21</w:t>
            </w:r>
            <w:r>
              <w:rPr>
                <w:rFonts w:hint="eastAsia" w:ascii="宋体" w:hAnsi="宋体"/>
                <w:kern w:val="0"/>
                <w:szCs w:val="21"/>
              </w:rPr>
              <w:t>班</w:t>
            </w:r>
          </w:p>
        </w:tc>
        <w:tc>
          <w:tcPr>
            <w:tcW w:w="2458" w:type="dxa"/>
            <w:tcBorders>
              <w:top w:val="nil"/>
              <w:left w:val="nil"/>
              <w:bottom w:val="single" w:color="auto" w:sz="4" w:space="0"/>
              <w:right w:val="single" w:color="auto" w:sz="4" w:space="0"/>
            </w:tcBorders>
            <w:vAlign w:val="center"/>
          </w:tcPr>
          <w:p>
            <w:pPr>
              <w:widowControl/>
              <w:ind w:firstLine="480"/>
              <w:jc w:val="center"/>
              <w:rPr>
                <w:rFonts w:ascii="宋体" w:hAnsi="宋体" w:cs="宋体"/>
                <w:kern w:val="0"/>
                <w:szCs w:val="21"/>
              </w:rPr>
            </w:pPr>
            <w:r>
              <w:rPr>
                <w:rFonts w:hint="eastAsia" w:ascii="宋体" w:hAnsi="宋体" w:cs="宋体"/>
                <w:kern w:val="0"/>
                <w:szCs w:val="21"/>
              </w:rPr>
              <w:t>动漫人物</w:t>
            </w:r>
          </w:p>
        </w:tc>
        <w:tc>
          <w:tcPr>
            <w:tcW w:w="1574" w:type="dxa"/>
            <w:tcBorders>
              <w:top w:val="nil"/>
              <w:left w:val="nil"/>
              <w:bottom w:val="single" w:color="auto" w:sz="4" w:space="0"/>
              <w:right w:val="single" w:color="auto" w:sz="4" w:space="0"/>
            </w:tcBorders>
            <w:noWrap/>
            <w:vAlign w:val="center"/>
          </w:tcPr>
          <w:p>
            <w:pPr>
              <w:widowControl/>
              <w:ind w:firstLine="480"/>
              <w:jc w:val="center"/>
              <w:rPr>
                <w:rFonts w:ascii="宋体" w:hAnsi="宋体" w:cs="宋体"/>
                <w:kern w:val="0"/>
                <w:szCs w:val="21"/>
              </w:rPr>
            </w:pPr>
            <w:r>
              <w:rPr>
                <w:rFonts w:hint="eastAsia" w:ascii="宋体" w:hAnsi="宋体" w:cs="宋体"/>
                <w:kern w:val="0"/>
                <w:szCs w:val="21"/>
              </w:rPr>
              <w:t>刘丹曼</w:t>
            </w:r>
          </w:p>
        </w:tc>
      </w:tr>
      <w:tr>
        <w:tblPrEx>
          <w:tblCellMar>
            <w:top w:w="0" w:type="dxa"/>
            <w:left w:w="108" w:type="dxa"/>
            <w:bottom w:w="0" w:type="dxa"/>
            <w:right w:w="108" w:type="dxa"/>
          </w:tblCellMar>
        </w:tblPrEx>
        <w:trPr>
          <w:trHeight w:val="553" w:hRule="atLeast"/>
        </w:trPr>
        <w:tc>
          <w:tcPr>
            <w:tcW w:w="706" w:type="dxa"/>
            <w:tcBorders>
              <w:top w:val="nil"/>
              <w:left w:val="single" w:color="auto" w:sz="4" w:space="0"/>
              <w:bottom w:val="single" w:color="auto" w:sz="4" w:space="0"/>
              <w:right w:val="single" w:color="auto" w:sz="4" w:space="0"/>
            </w:tcBorders>
            <w:noWrap/>
            <w:vAlign w:val="center"/>
          </w:tcPr>
          <w:p>
            <w:pPr>
              <w:widowControl/>
              <w:ind w:firstLine="0" w:firstLineChars="0"/>
              <w:rPr>
                <w:rFonts w:ascii="宋体" w:hAnsi="宋体" w:cs="宋体"/>
                <w:kern w:val="0"/>
                <w:sz w:val="22"/>
                <w:szCs w:val="22"/>
              </w:rPr>
            </w:pPr>
            <w:r>
              <w:rPr>
                <w:rFonts w:hint="eastAsia" w:ascii="宋体" w:hAnsi="宋体" w:cs="宋体"/>
                <w:kern w:val="0"/>
                <w:sz w:val="22"/>
                <w:szCs w:val="22"/>
              </w:rPr>
              <w:t>29</w:t>
            </w:r>
          </w:p>
        </w:tc>
        <w:tc>
          <w:tcPr>
            <w:tcW w:w="118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204579</w:t>
            </w:r>
          </w:p>
        </w:tc>
        <w:tc>
          <w:tcPr>
            <w:tcW w:w="112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陈苗珍</w:t>
            </w:r>
          </w:p>
        </w:tc>
        <w:tc>
          <w:tcPr>
            <w:tcW w:w="79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18</w:t>
            </w:r>
          </w:p>
        </w:tc>
        <w:tc>
          <w:tcPr>
            <w:tcW w:w="1540" w:type="dxa"/>
            <w:tcBorders>
              <w:top w:val="nil"/>
              <w:left w:val="nil"/>
              <w:bottom w:val="single" w:color="auto" w:sz="4" w:space="0"/>
              <w:right w:val="single" w:color="auto" w:sz="4" w:space="0"/>
            </w:tcBorders>
            <w:vAlign w:val="center"/>
          </w:tcPr>
          <w:p>
            <w:pPr>
              <w:widowControl/>
              <w:ind w:firstLine="199" w:firstLineChars="83"/>
              <w:jc w:val="center"/>
              <w:rPr>
                <w:kern w:val="0"/>
                <w:szCs w:val="21"/>
              </w:rPr>
            </w:pPr>
            <w:r>
              <w:rPr>
                <w:kern w:val="0"/>
                <w:szCs w:val="21"/>
              </w:rPr>
              <w:t>高三</w:t>
            </w:r>
          </w:p>
        </w:tc>
        <w:tc>
          <w:tcPr>
            <w:tcW w:w="2458" w:type="dxa"/>
            <w:tcBorders>
              <w:top w:val="nil"/>
              <w:left w:val="nil"/>
              <w:bottom w:val="single" w:color="auto" w:sz="4" w:space="0"/>
              <w:right w:val="single" w:color="auto" w:sz="4" w:space="0"/>
            </w:tcBorders>
            <w:vAlign w:val="center"/>
          </w:tcPr>
          <w:p>
            <w:pPr>
              <w:widowControl/>
              <w:ind w:firstLine="480"/>
              <w:jc w:val="center"/>
              <w:rPr>
                <w:rFonts w:ascii="宋体" w:hAnsi="宋体" w:cs="宋体"/>
                <w:kern w:val="0"/>
                <w:szCs w:val="21"/>
              </w:rPr>
            </w:pPr>
            <w:r>
              <w:rPr>
                <w:rFonts w:hint="eastAsia" w:ascii="宋体" w:hAnsi="宋体" w:cs="宋体"/>
                <w:kern w:val="0"/>
                <w:szCs w:val="21"/>
              </w:rPr>
              <w:t>我的二次元角色</w:t>
            </w:r>
          </w:p>
        </w:tc>
        <w:tc>
          <w:tcPr>
            <w:tcW w:w="1574" w:type="dxa"/>
            <w:tcBorders>
              <w:top w:val="nil"/>
              <w:left w:val="nil"/>
              <w:bottom w:val="single" w:color="auto" w:sz="4" w:space="0"/>
              <w:right w:val="single" w:color="auto" w:sz="4" w:space="0"/>
            </w:tcBorders>
            <w:noWrap/>
            <w:vAlign w:val="center"/>
          </w:tcPr>
          <w:p>
            <w:pPr>
              <w:widowControl/>
              <w:ind w:firstLine="480"/>
              <w:jc w:val="center"/>
              <w:rPr>
                <w:rFonts w:ascii="宋体" w:hAnsi="宋体" w:cs="宋体"/>
                <w:kern w:val="0"/>
                <w:szCs w:val="21"/>
              </w:rPr>
            </w:pPr>
            <w:r>
              <w:rPr>
                <w:rFonts w:hint="eastAsia" w:ascii="宋体" w:hAnsi="宋体" w:cs="宋体"/>
                <w:kern w:val="0"/>
                <w:szCs w:val="21"/>
              </w:rPr>
              <w:t>官丽萍</w:t>
            </w:r>
          </w:p>
        </w:tc>
      </w:tr>
      <w:tr>
        <w:tblPrEx>
          <w:tblCellMar>
            <w:top w:w="0" w:type="dxa"/>
            <w:left w:w="108" w:type="dxa"/>
            <w:bottom w:w="0" w:type="dxa"/>
            <w:right w:w="108" w:type="dxa"/>
          </w:tblCellMar>
        </w:tblPrEx>
        <w:trPr>
          <w:trHeight w:val="360" w:hRule="atLeast"/>
        </w:trPr>
        <w:tc>
          <w:tcPr>
            <w:tcW w:w="706" w:type="dxa"/>
            <w:tcBorders>
              <w:top w:val="nil"/>
              <w:left w:val="single" w:color="auto" w:sz="4" w:space="0"/>
              <w:bottom w:val="single" w:color="auto" w:sz="4" w:space="0"/>
              <w:right w:val="single" w:color="auto" w:sz="4" w:space="0"/>
            </w:tcBorders>
            <w:noWrap/>
            <w:vAlign w:val="center"/>
          </w:tcPr>
          <w:p>
            <w:pPr>
              <w:widowControl/>
              <w:ind w:firstLine="0" w:firstLineChars="0"/>
              <w:rPr>
                <w:rFonts w:ascii="宋体" w:hAnsi="宋体" w:cs="宋体"/>
                <w:kern w:val="0"/>
                <w:sz w:val="22"/>
                <w:szCs w:val="22"/>
              </w:rPr>
            </w:pPr>
            <w:r>
              <w:rPr>
                <w:rFonts w:hint="eastAsia" w:ascii="宋体" w:hAnsi="宋体" w:cs="宋体"/>
                <w:kern w:val="0"/>
                <w:sz w:val="22"/>
                <w:szCs w:val="22"/>
              </w:rPr>
              <w:t>30</w:t>
            </w:r>
          </w:p>
        </w:tc>
        <w:tc>
          <w:tcPr>
            <w:tcW w:w="118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209915</w:t>
            </w:r>
          </w:p>
        </w:tc>
        <w:tc>
          <w:tcPr>
            <w:tcW w:w="112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周泽宜</w:t>
            </w:r>
          </w:p>
        </w:tc>
        <w:tc>
          <w:tcPr>
            <w:tcW w:w="79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16</w:t>
            </w:r>
          </w:p>
        </w:tc>
        <w:tc>
          <w:tcPr>
            <w:tcW w:w="1540" w:type="dxa"/>
            <w:tcBorders>
              <w:top w:val="nil"/>
              <w:left w:val="nil"/>
              <w:bottom w:val="single" w:color="auto" w:sz="4" w:space="0"/>
              <w:right w:val="single" w:color="auto" w:sz="4" w:space="0"/>
            </w:tcBorders>
            <w:vAlign w:val="center"/>
          </w:tcPr>
          <w:p>
            <w:pPr>
              <w:widowControl/>
              <w:ind w:firstLine="199" w:firstLineChars="83"/>
              <w:jc w:val="center"/>
              <w:rPr>
                <w:kern w:val="0"/>
                <w:szCs w:val="21"/>
              </w:rPr>
            </w:pPr>
            <w:r>
              <w:rPr>
                <w:kern w:val="0"/>
                <w:szCs w:val="21"/>
              </w:rPr>
              <w:t>高一</w:t>
            </w:r>
          </w:p>
        </w:tc>
        <w:tc>
          <w:tcPr>
            <w:tcW w:w="2458" w:type="dxa"/>
            <w:tcBorders>
              <w:top w:val="nil"/>
              <w:left w:val="nil"/>
              <w:bottom w:val="single" w:color="auto" w:sz="4" w:space="0"/>
              <w:right w:val="single" w:color="auto" w:sz="4" w:space="0"/>
            </w:tcBorders>
            <w:vAlign w:val="center"/>
          </w:tcPr>
          <w:p>
            <w:pPr>
              <w:widowControl/>
              <w:ind w:firstLine="480"/>
              <w:jc w:val="center"/>
              <w:rPr>
                <w:rFonts w:ascii="宋体" w:hAnsi="宋体" w:cs="宋体"/>
                <w:kern w:val="0"/>
                <w:szCs w:val="21"/>
              </w:rPr>
            </w:pPr>
            <w:r>
              <w:rPr>
                <w:rFonts w:hint="eastAsia" w:ascii="宋体" w:hAnsi="宋体" w:cs="宋体"/>
                <w:kern w:val="0"/>
                <w:szCs w:val="21"/>
              </w:rPr>
              <w:t>陋室铭</w:t>
            </w:r>
            <w:r>
              <w:rPr>
                <w:kern w:val="0"/>
                <w:szCs w:val="21"/>
              </w:rPr>
              <w:t>(</w:t>
            </w:r>
            <w:r>
              <w:rPr>
                <w:rFonts w:hint="eastAsia" w:ascii="宋体" w:hAnsi="宋体" w:cs="宋体"/>
                <w:kern w:val="0"/>
                <w:szCs w:val="21"/>
              </w:rPr>
              <w:t>硬笔）</w:t>
            </w:r>
          </w:p>
        </w:tc>
        <w:tc>
          <w:tcPr>
            <w:tcW w:w="1574" w:type="dxa"/>
            <w:tcBorders>
              <w:top w:val="nil"/>
              <w:left w:val="nil"/>
              <w:bottom w:val="single" w:color="auto" w:sz="4" w:space="0"/>
              <w:right w:val="single" w:color="auto" w:sz="4" w:space="0"/>
            </w:tcBorders>
            <w:noWrap/>
            <w:vAlign w:val="center"/>
          </w:tcPr>
          <w:p>
            <w:pPr>
              <w:widowControl/>
              <w:ind w:firstLine="480"/>
              <w:jc w:val="center"/>
              <w:rPr>
                <w:rFonts w:ascii="宋体" w:hAnsi="宋体" w:cs="宋体"/>
                <w:kern w:val="0"/>
                <w:szCs w:val="21"/>
              </w:rPr>
            </w:pPr>
            <w:r>
              <w:rPr>
                <w:rFonts w:hint="eastAsia" w:ascii="宋体" w:hAnsi="宋体" w:cs="宋体"/>
                <w:kern w:val="0"/>
                <w:szCs w:val="21"/>
              </w:rPr>
              <w:t>官丽萍</w:t>
            </w:r>
          </w:p>
        </w:tc>
      </w:tr>
      <w:tr>
        <w:tblPrEx>
          <w:tblCellMar>
            <w:top w:w="0" w:type="dxa"/>
            <w:left w:w="108" w:type="dxa"/>
            <w:bottom w:w="0" w:type="dxa"/>
            <w:right w:w="108" w:type="dxa"/>
          </w:tblCellMar>
        </w:tblPrEx>
        <w:trPr>
          <w:trHeight w:val="360" w:hRule="atLeast"/>
        </w:trPr>
        <w:tc>
          <w:tcPr>
            <w:tcW w:w="706" w:type="dxa"/>
            <w:tcBorders>
              <w:top w:val="nil"/>
              <w:left w:val="single" w:color="auto" w:sz="4" w:space="0"/>
              <w:bottom w:val="single" w:color="auto" w:sz="4" w:space="0"/>
              <w:right w:val="single" w:color="auto" w:sz="4" w:space="0"/>
            </w:tcBorders>
            <w:noWrap/>
            <w:vAlign w:val="center"/>
          </w:tcPr>
          <w:p>
            <w:pPr>
              <w:widowControl/>
              <w:ind w:firstLine="0" w:firstLineChars="0"/>
              <w:rPr>
                <w:rFonts w:ascii="宋体" w:hAnsi="宋体" w:cs="宋体"/>
                <w:kern w:val="0"/>
                <w:sz w:val="22"/>
                <w:szCs w:val="22"/>
              </w:rPr>
            </w:pPr>
            <w:r>
              <w:rPr>
                <w:rFonts w:hint="eastAsia" w:ascii="宋体" w:hAnsi="宋体" w:cs="宋体"/>
                <w:kern w:val="0"/>
                <w:sz w:val="22"/>
                <w:szCs w:val="22"/>
              </w:rPr>
              <w:t>31</w:t>
            </w:r>
          </w:p>
        </w:tc>
        <w:tc>
          <w:tcPr>
            <w:tcW w:w="118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209957</w:t>
            </w:r>
          </w:p>
        </w:tc>
        <w:tc>
          <w:tcPr>
            <w:tcW w:w="112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Cs w:val="21"/>
              </w:rPr>
            </w:pPr>
            <w:r>
              <w:rPr>
                <w:rFonts w:hint="eastAsia" w:ascii="宋体" w:hAnsi="宋体" w:cs="宋体"/>
                <w:kern w:val="0"/>
                <w:szCs w:val="21"/>
              </w:rPr>
              <w:t>赖木辉</w:t>
            </w:r>
          </w:p>
        </w:tc>
        <w:tc>
          <w:tcPr>
            <w:tcW w:w="794" w:type="dxa"/>
            <w:tcBorders>
              <w:top w:val="nil"/>
              <w:left w:val="nil"/>
              <w:bottom w:val="single" w:color="auto" w:sz="4" w:space="0"/>
              <w:right w:val="single" w:color="auto" w:sz="4" w:space="0"/>
            </w:tcBorders>
            <w:vAlign w:val="center"/>
          </w:tcPr>
          <w:p>
            <w:pPr>
              <w:widowControl/>
              <w:ind w:firstLine="0" w:firstLineChars="0"/>
              <w:jc w:val="center"/>
              <w:rPr>
                <w:kern w:val="0"/>
                <w:szCs w:val="21"/>
              </w:rPr>
            </w:pPr>
            <w:r>
              <w:rPr>
                <w:kern w:val="0"/>
                <w:szCs w:val="21"/>
              </w:rPr>
              <w:t>17</w:t>
            </w:r>
          </w:p>
        </w:tc>
        <w:tc>
          <w:tcPr>
            <w:tcW w:w="1540" w:type="dxa"/>
            <w:tcBorders>
              <w:top w:val="nil"/>
              <w:left w:val="nil"/>
              <w:bottom w:val="single" w:color="auto" w:sz="4" w:space="0"/>
              <w:right w:val="single" w:color="auto" w:sz="4" w:space="0"/>
            </w:tcBorders>
            <w:vAlign w:val="center"/>
          </w:tcPr>
          <w:p>
            <w:pPr>
              <w:widowControl/>
              <w:ind w:firstLine="199" w:firstLineChars="83"/>
              <w:jc w:val="center"/>
              <w:rPr>
                <w:kern w:val="0"/>
                <w:szCs w:val="21"/>
              </w:rPr>
            </w:pPr>
            <w:r>
              <w:rPr>
                <w:kern w:val="0"/>
                <w:szCs w:val="21"/>
              </w:rPr>
              <w:t>高三</w:t>
            </w:r>
          </w:p>
        </w:tc>
        <w:tc>
          <w:tcPr>
            <w:tcW w:w="2458" w:type="dxa"/>
            <w:tcBorders>
              <w:top w:val="nil"/>
              <w:left w:val="nil"/>
              <w:bottom w:val="single" w:color="auto" w:sz="4" w:space="0"/>
              <w:right w:val="single" w:color="auto" w:sz="4" w:space="0"/>
            </w:tcBorders>
            <w:vAlign w:val="center"/>
          </w:tcPr>
          <w:p>
            <w:pPr>
              <w:widowControl/>
              <w:ind w:firstLine="480"/>
              <w:jc w:val="center"/>
              <w:rPr>
                <w:rFonts w:ascii="宋体" w:hAnsi="宋体" w:cs="宋体"/>
                <w:kern w:val="0"/>
                <w:szCs w:val="21"/>
              </w:rPr>
            </w:pPr>
            <w:r>
              <w:rPr>
                <w:rFonts w:hint="eastAsia" w:ascii="宋体" w:hAnsi="宋体" w:cs="宋体"/>
                <w:kern w:val="0"/>
                <w:szCs w:val="21"/>
              </w:rPr>
              <w:t>鳞龍（电脑绘画）</w:t>
            </w:r>
          </w:p>
        </w:tc>
        <w:tc>
          <w:tcPr>
            <w:tcW w:w="1574" w:type="dxa"/>
            <w:tcBorders>
              <w:top w:val="nil"/>
              <w:left w:val="nil"/>
              <w:bottom w:val="single" w:color="auto" w:sz="4" w:space="0"/>
              <w:right w:val="single" w:color="auto" w:sz="4" w:space="0"/>
            </w:tcBorders>
            <w:noWrap/>
            <w:vAlign w:val="center"/>
          </w:tcPr>
          <w:p>
            <w:pPr>
              <w:widowControl/>
              <w:ind w:firstLine="480"/>
              <w:jc w:val="center"/>
              <w:rPr>
                <w:rFonts w:ascii="宋体" w:hAnsi="宋体" w:cs="宋体"/>
                <w:kern w:val="0"/>
                <w:szCs w:val="21"/>
              </w:rPr>
            </w:pPr>
            <w:r>
              <w:rPr>
                <w:rFonts w:hint="eastAsia" w:ascii="宋体" w:hAnsi="宋体" w:cs="宋体"/>
                <w:kern w:val="0"/>
                <w:szCs w:val="21"/>
              </w:rPr>
              <w:t>官丽萍</w:t>
            </w:r>
          </w:p>
        </w:tc>
      </w:tr>
    </w:tbl>
    <w:p>
      <w:pPr>
        <w:ind w:firstLine="480"/>
        <w:rPr>
          <w:rFonts w:hint="eastAsia" w:ascii="宋体" w:hAnsi="宋体"/>
        </w:rPr>
      </w:pPr>
      <w:r>
        <w:rPr>
          <w:rFonts w:hint="eastAsia" w:ascii="宋体" w:hAnsi="宋体"/>
        </w:rPr>
        <w:t>3.</w:t>
      </w:r>
      <w:r>
        <w:rPr>
          <w:rFonts w:hint="eastAsia"/>
          <w:szCs w:val="21"/>
        </w:rPr>
        <w:t xml:space="preserve"> 由洪碧苑、陈芷婷、黄婉妮老师指导的舞蹈《映山红》</w:t>
      </w:r>
      <w:r>
        <w:rPr>
          <w:rFonts w:hint="eastAsia" w:ascii="宋体" w:hAnsi="宋体"/>
        </w:rPr>
        <w:t>参加全省第六届中小学生艺术展演活动，荣获省级二等奖。</w:t>
      </w:r>
    </w:p>
    <w:p>
      <w:pPr>
        <w:pStyle w:val="4"/>
      </w:pPr>
      <w:bookmarkStart w:id="128" w:name="_Toc29995152"/>
      <w:r>
        <w:rPr>
          <w:rFonts w:hint="eastAsia"/>
        </w:rPr>
        <w:t>3.2.6实训基地建设</w:t>
      </w:r>
      <w:bookmarkEnd w:id="79"/>
      <w:bookmarkEnd w:id="128"/>
    </w:p>
    <w:p>
      <w:pPr>
        <w:ind w:firstLine="480"/>
        <w:jc w:val="left"/>
      </w:pPr>
      <w:r>
        <w:rPr>
          <w:rFonts w:hint="eastAsia"/>
        </w:rPr>
        <w:t>学校建有各专业配套实训基地，其中有8个广东省中等职业教育实训基地，共有100多间实习实训室，校内实践教学场所面积22050平方米，生均实践场所面积6.1平方米，校内实践教学工位数5150个，比去年增加420个，生均实训实习工位数1.3，较去年生均1.2个略有提升。实习实训工位数的增加主要得益于学校动漫专业获得了双精准专项建设资金合计共200万元，开展了第一期实训场室的建设，另外学校自筹经费扩建了烹饪专业实训室，共投资了115多万元，增加了一定的实训实习工位数。</w:t>
      </w:r>
    </w:p>
    <w:p>
      <w:pPr>
        <w:ind w:firstLine="480"/>
        <w:jc w:val="left"/>
      </w:pPr>
      <w:r>
        <w:rPr>
          <w:rFonts w:hint="eastAsia"/>
        </w:rPr>
        <w:t>另外学校目前拥有8个广东省中等职业教育实训基地，共有100多间实习实训室，校内实践教学场所面积22050平方米，生均实践场所面积6.1平方米，校内实践教学工位数4730 。</w:t>
      </w:r>
    </w:p>
    <w:p>
      <w:pPr>
        <w:ind w:firstLine="480"/>
        <w:jc w:val="center"/>
        <w:rPr>
          <w:rFonts w:ascii="仿宋_GB2312" w:hAnsi="Courier New" w:eastAsia="仿宋_GB2312"/>
        </w:rPr>
      </w:pPr>
      <w:r>
        <w:rPr>
          <w:rFonts w:hint="eastAsia" w:ascii="仿宋_GB2312" w:hAnsi="Courier New" w:eastAsia="仿宋_GB2312"/>
        </w:rPr>
        <w:t>校内实训基地一览表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1365"/>
        <w:gridCol w:w="3570"/>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28" w:type="dxa"/>
            <w:vAlign w:val="center"/>
          </w:tcPr>
          <w:p>
            <w:pPr>
              <w:widowControl/>
              <w:ind w:firstLine="0" w:firstLineChars="0"/>
              <w:jc w:val="center"/>
              <w:rPr>
                <w:b/>
                <w:sz w:val="18"/>
                <w:szCs w:val="18"/>
              </w:rPr>
            </w:pPr>
            <w:r>
              <w:rPr>
                <w:rFonts w:hint="eastAsia"/>
                <w:b/>
                <w:sz w:val="18"/>
                <w:szCs w:val="18"/>
              </w:rPr>
              <w:t>序号</w:t>
            </w:r>
          </w:p>
        </w:tc>
        <w:tc>
          <w:tcPr>
            <w:tcW w:w="1365" w:type="dxa"/>
            <w:vAlign w:val="center"/>
          </w:tcPr>
          <w:p>
            <w:pPr>
              <w:widowControl/>
              <w:ind w:firstLine="0" w:firstLineChars="0"/>
              <w:jc w:val="center"/>
              <w:rPr>
                <w:b/>
                <w:sz w:val="18"/>
                <w:szCs w:val="18"/>
              </w:rPr>
            </w:pPr>
            <w:r>
              <w:rPr>
                <w:rFonts w:hint="eastAsia"/>
                <w:b/>
                <w:sz w:val="18"/>
                <w:szCs w:val="18"/>
              </w:rPr>
              <w:t>专业名称</w:t>
            </w:r>
          </w:p>
        </w:tc>
        <w:tc>
          <w:tcPr>
            <w:tcW w:w="3570" w:type="dxa"/>
            <w:vAlign w:val="center"/>
          </w:tcPr>
          <w:p>
            <w:pPr>
              <w:widowControl/>
              <w:ind w:firstLine="0" w:firstLineChars="0"/>
              <w:jc w:val="center"/>
              <w:rPr>
                <w:b/>
                <w:sz w:val="18"/>
                <w:szCs w:val="18"/>
              </w:rPr>
            </w:pPr>
            <w:r>
              <w:rPr>
                <w:rFonts w:hint="eastAsia"/>
                <w:b/>
                <w:sz w:val="18"/>
                <w:szCs w:val="18"/>
              </w:rPr>
              <w:t>各级财政专项资金建设实训基地</w:t>
            </w:r>
          </w:p>
        </w:tc>
        <w:tc>
          <w:tcPr>
            <w:tcW w:w="3823" w:type="dxa"/>
            <w:vAlign w:val="center"/>
          </w:tcPr>
          <w:p>
            <w:pPr>
              <w:widowControl/>
              <w:ind w:firstLine="0" w:firstLineChars="0"/>
              <w:jc w:val="center"/>
              <w:rPr>
                <w:b/>
                <w:sz w:val="18"/>
                <w:szCs w:val="18"/>
              </w:rPr>
            </w:pPr>
            <w:r>
              <w:rPr>
                <w:rFonts w:hint="eastAsia"/>
                <w:b/>
                <w:sz w:val="18"/>
                <w:szCs w:val="18"/>
              </w:rPr>
              <w:t>场室名称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widowControl/>
              <w:ind w:firstLine="0" w:firstLineChars="0"/>
              <w:jc w:val="center"/>
              <w:rPr>
                <w:sz w:val="18"/>
                <w:szCs w:val="18"/>
              </w:rPr>
            </w:pPr>
            <w:r>
              <w:rPr>
                <w:rFonts w:hint="eastAsia"/>
                <w:sz w:val="18"/>
                <w:szCs w:val="18"/>
              </w:rPr>
              <w:t>1</w:t>
            </w:r>
          </w:p>
        </w:tc>
        <w:tc>
          <w:tcPr>
            <w:tcW w:w="1365" w:type="dxa"/>
            <w:vAlign w:val="center"/>
          </w:tcPr>
          <w:p>
            <w:pPr>
              <w:widowControl/>
              <w:ind w:firstLine="0" w:firstLineChars="0"/>
              <w:jc w:val="center"/>
              <w:rPr>
                <w:sz w:val="18"/>
                <w:szCs w:val="18"/>
              </w:rPr>
            </w:pPr>
            <w:r>
              <w:rPr>
                <w:rFonts w:hint="eastAsia"/>
                <w:sz w:val="18"/>
                <w:szCs w:val="18"/>
              </w:rPr>
              <w:t>电子与信息技术</w:t>
            </w:r>
          </w:p>
        </w:tc>
        <w:tc>
          <w:tcPr>
            <w:tcW w:w="3570" w:type="dxa"/>
            <w:vAlign w:val="center"/>
          </w:tcPr>
          <w:p>
            <w:pPr>
              <w:widowControl/>
              <w:ind w:firstLine="0" w:firstLineChars="0"/>
              <w:jc w:val="center"/>
              <w:rPr>
                <w:sz w:val="18"/>
                <w:szCs w:val="18"/>
              </w:rPr>
            </w:pPr>
            <w:r>
              <w:rPr>
                <w:rFonts w:hint="eastAsia"/>
                <w:sz w:val="18"/>
                <w:szCs w:val="18"/>
              </w:rPr>
              <w:t>中央财政支持中等职业学校重点建设专业实训基地</w:t>
            </w:r>
          </w:p>
          <w:p>
            <w:pPr>
              <w:widowControl/>
              <w:ind w:firstLine="0" w:firstLineChars="0"/>
              <w:jc w:val="center"/>
              <w:rPr>
                <w:sz w:val="18"/>
                <w:szCs w:val="18"/>
              </w:rPr>
            </w:pPr>
            <w:r>
              <w:rPr>
                <w:rFonts w:hint="eastAsia"/>
                <w:sz w:val="18"/>
                <w:szCs w:val="18"/>
              </w:rPr>
              <w:t>广东省中等职业教育电子与信息技术专业实训基地</w:t>
            </w:r>
          </w:p>
        </w:tc>
        <w:tc>
          <w:tcPr>
            <w:tcW w:w="3823" w:type="dxa"/>
            <w:vAlign w:val="center"/>
          </w:tcPr>
          <w:p>
            <w:pPr>
              <w:widowControl/>
              <w:ind w:firstLine="0" w:firstLineChars="0"/>
              <w:jc w:val="center"/>
              <w:rPr>
                <w:sz w:val="18"/>
                <w:szCs w:val="18"/>
              </w:rPr>
            </w:pPr>
            <w:r>
              <w:rPr>
                <w:rFonts w:hint="eastAsia"/>
                <w:sz w:val="18"/>
                <w:szCs w:val="18"/>
              </w:rPr>
              <w:t>电子装配室、电子装配与考核室、机械制图与测绘技术实训室、电子省赛培训及考核办公室室、电子工艺EAD实训室、综合布线实训室、家电电视整机维修实操室、传感器检测技术实训室，单片机/PLC实训室、单片机技术实训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widowControl/>
              <w:ind w:firstLine="0" w:firstLineChars="0"/>
              <w:jc w:val="center"/>
              <w:rPr>
                <w:sz w:val="18"/>
                <w:szCs w:val="18"/>
              </w:rPr>
            </w:pPr>
            <w:r>
              <w:rPr>
                <w:rFonts w:hint="eastAsia"/>
                <w:sz w:val="18"/>
                <w:szCs w:val="18"/>
              </w:rPr>
              <w:t>2</w:t>
            </w:r>
          </w:p>
        </w:tc>
        <w:tc>
          <w:tcPr>
            <w:tcW w:w="1365" w:type="dxa"/>
            <w:vAlign w:val="center"/>
          </w:tcPr>
          <w:p>
            <w:pPr>
              <w:widowControl/>
              <w:ind w:firstLine="0" w:firstLineChars="0"/>
              <w:jc w:val="center"/>
              <w:rPr>
                <w:sz w:val="18"/>
                <w:szCs w:val="18"/>
              </w:rPr>
            </w:pPr>
            <w:r>
              <w:rPr>
                <w:rFonts w:hint="eastAsia"/>
                <w:sz w:val="18"/>
                <w:szCs w:val="18"/>
              </w:rPr>
              <w:t>计算机应用</w:t>
            </w:r>
          </w:p>
        </w:tc>
        <w:tc>
          <w:tcPr>
            <w:tcW w:w="3570" w:type="dxa"/>
            <w:vAlign w:val="center"/>
          </w:tcPr>
          <w:p>
            <w:pPr>
              <w:widowControl/>
              <w:ind w:firstLine="0" w:firstLineChars="0"/>
              <w:jc w:val="center"/>
              <w:rPr>
                <w:sz w:val="18"/>
                <w:szCs w:val="18"/>
              </w:rPr>
            </w:pPr>
            <w:r>
              <w:rPr>
                <w:rFonts w:hint="eastAsia"/>
                <w:sz w:val="18"/>
                <w:szCs w:val="18"/>
              </w:rPr>
              <w:t>中央财政支持中等职业学校重点建设专业实训基地</w:t>
            </w:r>
          </w:p>
          <w:p>
            <w:pPr>
              <w:widowControl/>
              <w:ind w:firstLine="0" w:firstLineChars="0"/>
              <w:jc w:val="center"/>
              <w:rPr>
                <w:sz w:val="18"/>
                <w:szCs w:val="18"/>
              </w:rPr>
            </w:pPr>
            <w:r>
              <w:rPr>
                <w:rFonts w:hint="eastAsia"/>
                <w:sz w:val="18"/>
                <w:szCs w:val="18"/>
              </w:rPr>
              <w:t>广东省中等职业教育计算机应用专业实训基地</w:t>
            </w:r>
          </w:p>
        </w:tc>
        <w:tc>
          <w:tcPr>
            <w:tcW w:w="3823" w:type="dxa"/>
            <w:vAlign w:val="center"/>
          </w:tcPr>
          <w:p>
            <w:pPr>
              <w:widowControl/>
              <w:ind w:firstLine="0" w:firstLineChars="0"/>
              <w:jc w:val="center"/>
              <w:rPr>
                <w:sz w:val="18"/>
                <w:szCs w:val="18"/>
              </w:rPr>
            </w:pPr>
            <w:r>
              <w:rPr>
                <w:rFonts w:hint="eastAsia"/>
                <w:sz w:val="18"/>
                <w:szCs w:val="18"/>
              </w:rPr>
              <w:t>计算机基础实训室、计算机软件开发与测试实训室、计算机组装与维护实训室、超大计算机房，标准计算机房，网络室、网络技术实训室等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widowControl/>
              <w:ind w:firstLine="0" w:firstLineChars="0"/>
              <w:jc w:val="center"/>
              <w:rPr>
                <w:sz w:val="18"/>
                <w:szCs w:val="18"/>
              </w:rPr>
            </w:pPr>
            <w:r>
              <w:rPr>
                <w:rFonts w:hint="eastAsia"/>
                <w:sz w:val="18"/>
                <w:szCs w:val="18"/>
              </w:rPr>
              <w:t>3</w:t>
            </w:r>
          </w:p>
        </w:tc>
        <w:tc>
          <w:tcPr>
            <w:tcW w:w="1365" w:type="dxa"/>
            <w:vAlign w:val="center"/>
          </w:tcPr>
          <w:p>
            <w:pPr>
              <w:widowControl/>
              <w:ind w:firstLine="0" w:firstLineChars="0"/>
              <w:jc w:val="center"/>
              <w:rPr>
                <w:sz w:val="18"/>
                <w:szCs w:val="18"/>
              </w:rPr>
            </w:pPr>
            <w:r>
              <w:rPr>
                <w:rFonts w:hint="eastAsia"/>
                <w:sz w:val="18"/>
                <w:szCs w:val="18"/>
              </w:rPr>
              <w:t>机电技术应用</w:t>
            </w:r>
          </w:p>
        </w:tc>
        <w:tc>
          <w:tcPr>
            <w:tcW w:w="3570" w:type="dxa"/>
            <w:vAlign w:val="center"/>
          </w:tcPr>
          <w:p>
            <w:pPr>
              <w:widowControl/>
              <w:ind w:firstLine="0" w:firstLineChars="0"/>
              <w:jc w:val="center"/>
              <w:rPr>
                <w:sz w:val="18"/>
                <w:szCs w:val="18"/>
              </w:rPr>
            </w:pPr>
            <w:r>
              <w:rPr>
                <w:rFonts w:hint="eastAsia"/>
                <w:sz w:val="18"/>
                <w:szCs w:val="18"/>
              </w:rPr>
              <w:t xml:space="preserve">广东省中等职业学校重点建设专业实训基地 </w:t>
            </w:r>
          </w:p>
          <w:p>
            <w:pPr>
              <w:widowControl/>
              <w:ind w:firstLine="0" w:firstLineChars="0"/>
              <w:jc w:val="center"/>
              <w:rPr>
                <w:sz w:val="18"/>
                <w:szCs w:val="18"/>
              </w:rPr>
            </w:pPr>
            <w:r>
              <w:rPr>
                <w:rFonts w:hint="eastAsia"/>
                <w:sz w:val="18"/>
                <w:szCs w:val="18"/>
              </w:rPr>
              <w:t>广东省中等职业教育机电技术应用专业实训基地</w:t>
            </w:r>
          </w:p>
        </w:tc>
        <w:tc>
          <w:tcPr>
            <w:tcW w:w="3823" w:type="dxa"/>
            <w:vAlign w:val="center"/>
          </w:tcPr>
          <w:p>
            <w:pPr>
              <w:widowControl/>
              <w:ind w:firstLine="0" w:firstLineChars="0"/>
              <w:jc w:val="center"/>
              <w:rPr>
                <w:sz w:val="18"/>
                <w:szCs w:val="18"/>
              </w:rPr>
            </w:pPr>
            <w:r>
              <w:rPr>
                <w:rFonts w:hint="eastAsia"/>
                <w:sz w:val="18"/>
                <w:szCs w:val="18"/>
              </w:rPr>
              <w:t>电子装配室、EDA电子设计自动化实训室、电力拖动实验室、PLC室、光机电一体化自动控制室、维修电工实训考核室、钳工实训室、多媒体教学实训室等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widowControl/>
              <w:ind w:firstLine="0" w:firstLineChars="0"/>
              <w:jc w:val="center"/>
              <w:rPr>
                <w:sz w:val="18"/>
                <w:szCs w:val="18"/>
              </w:rPr>
            </w:pPr>
            <w:r>
              <w:rPr>
                <w:rFonts w:hint="eastAsia"/>
                <w:sz w:val="18"/>
                <w:szCs w:val="18"/>
              </w:rPr>
              <w:t>4</w:t>
            </w:r>
          </w:p>
        </w:tc>
        <w:tc>
          <w:tcPr>
            <w:tcW w:w="1365" w:type="dxa"/>
            <w:vAlign w:val="center"/>
          </w:tcPr>
          <w:p>
            <w:pPr>
              <w:widowControl/>
              <w:ind w:firstLine="0" w:firstLineChars="0"/>
              <w:jc w:val="center"/>
              <w:rPr>
                <w:sz w:val="18"/>
                <w:szCs w:val="18"/>
              </w:rPr>
            </w:pPr>
            <w:r>
              <w:rPr>
                <w:rFonts w:hint="eastAsia"/>
                <w:sz w:val="18"/>
                <w:szCs w:val="18"/>
              </w:rPr>
              <w:t>汽车运用与维修</w:t>
            </w:r>
          </w:p>
        </w:tc>
        <w:tc>
          <w:tcPr>
            <w:tcW w:w="3570" w:type="dxa"/>
            <w:vAlign w:val="center"/>
          </w:tcPr>
          <w:p>
            <w:pPr>
              <w:widowControl/>
              <w:ind w:firstLine="0" w:firstLineChars="0"/>
              <w:jc w:val="center"/>
              <w:rPr>
                <w:sz w:val="18"/>
                <w:szCs w:val="18"/>
              </w:rPr>
            </w:pPr>
            <w:r>
              <w:rPr>
                <w:rFonts w:hint="eastAsia"/>
                <w:sz w:val="18"/>
                <w:szCs w:val="18"/>
              </w:rPr>
              <w:t>广东省中等职业教育汽车运用与维修专业实训基地</w:t>
            </w:r>
          </w:p>
        </w:tc>
        <w:tc>
          <w:tcPr>
            <w:tcW w:w="3823" w:type="dxa"/>
            <w:vAlign w:val="center"/>
          </w:tcPr>
          <w:p>
            <w:pPr>
              <w:widowControl/>
              <w:ind w:firstLine="0" w:firstLineChars="0"/>
              <w:jc w:val="center"/>
              <w:rPr>
                <w:sz w:val="18"/>
                <w:szCs w:val="18"/>
              </w:rPr>
            </w:pPr>
            <w:r>
              <w:rPr>
                <w:rFonts w:hint="eastAsia"/>
                <w:sz w:val="18"/>
                <w:szCs w:val="18"/>
              </w:rPr>
              <w:t>汽车底盘构造与维修实训室、汽车空调与美容实训室、汽车发动机与整车实训室、汽车电气构造与维修实训室、3D虚拟实训室等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widowControl/>
              <w:ind w:firstLine="0" w:firstLineChars="0"/>
              <w:jc w:val="center"/>
              <w:rPr>
                <w:sz w:val="18"/>
                <w:szCs w:val="18"/>
              </w:rPr>
            </w:pPr>
            <w:r>
              <w:rPr>
                <w:rFonts w:hint="eastAsia"/>
                <w:sz w:val="18"/>
                <w:szCs w:val="18"/>
              </w:rPr>
              <w:t>5</w:t>
            </w:r>
          </w:p>
        </w:tc>
        <w:tc>
          <w:tcPr>
            <w:tcW w:w="1365" w:type="dxa"/>
            <w:vAlign w:val="center"/>
          </w:tcPr>
          <w:p>
            <w:pPr>
              <w:widowControl/>
              <w:ind w:firstLine="0" w:firstLineChars="0"/>
              <w:jc w:val="center"/>
              <w:rPr>
                <w:sz w:val="18"/>
                <w:szCs w:val="18"/>
              </w:rPr>
            </w:pPr>
            <w:r>
              <w:rPr>
                <w:rFonts w:hint="eastAsia"/>
                <w:sz w:val="18"/>
                <w:szCs w:val="18"/>
              </w:rPr>
              <w:t>数控技术应用</w:t>
            </w:r>
          </w:p>
        </w:tc>
        <w:tc>
          <w:tcPr>
            <w:tcW w:w="3570" w:type="dxa"/>
            <w:vAlign w:val="center"/>
          </w:tcPr>
          <w:p>
            <w:pPr>
              <w:widowControl/>
              <w:ind w:firstLine="0" w:firstLineChars="0"/>
              <w:jc w:val="center"/>
              <w:rPr>
                <w:sz w:val="18"/>
                <w:szCs w:val="18"/>
              </w:rPr>
            </w:pPr>
            <w:r>
              <w:rPr>
                <w:rFonts w:hint="eastAsia"/>
                <w:sz w:val="18"/>
                <w:szCs w:val="18"/>
              </w:rPr>
              <w:t>广东省中等职业教育数控技术应用专业实训基地</w:t>
            </w:r>
          </w:p>
        </w:tc>
        <w:tc>
          <w:tcPr>
            <w:tcW w:w="3823" w:type="dxa"/>
            <w:vAlign w:val="center"/>
          </w:tcPr>
          <w:p>
            <w:pPr>
              <w:widowControl/>
              <w:ind w:firstLine="0" w:firstLineChars="0"/>
              <w:jc w:val="center"/>
              <w:rPr>
                <w:sz w:val="18"/>
                <w:szCs w:val="18"/>
              </w:rPr>
            </w:pPr>
            <w:r>
              <w:rPr>
                <w:rFonts w:hint="eastAsia"/>
                <w:sz w:val="18"/>
                <w:szCs w:val="18"/>
              </w:rPr>
              <w:t>CAD/CAM实训室、普车普铣实训室、工具房、数控车床实训室、数控铣床实训室和磨刀车间实训室等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widowControl/>
              <w:ind w:firstLine="0" w:firstLineChars="0"/>
              <w:jc w:val="center"/>
              <w:rPr>
                <w:sz w:val="18"/>
                <w:szCs w:val="18"/>
              </w:rPr>
            </w:pPr>
            <w:r>
              <w:rPr>
                <w:rFonts w:hint="eastAsia"/>
                <w:sz w:val="18"/>
                <w:szCs w:val="18"/>
              </w:rPr>
              <w:t>6</w:t>
            </w:r>
          </w:p>
        </w:tc>
        <w:tc>
          <w:tcPr>
            <w:tcW w:w="1365" w:type="dxa"/>
            <w:vAlign w:val="center"/>
          </w:tcPr>
          <w:p>
            <w:pPr>
              <w:widowControl/>
              <w:ind w:firstLine="0" w:firstLineChars="0"/>
              <w:jc w:val="center"/>
              <w:rPr>
                <w:sz w:val="18"/>
                <w:szCs w:val="18"/>
              </w:rPr>
            </w:pPr>
            <w:r>
              <w:rPr>
                <w:rFonts w:hint="eastAsia"/>
                <w:sz w:val="18"/>
                <w:szCs w:val="18"/>
              </w:rPr>
              <w:t>学前教育</w:t>
            </w:r>
          </w:p>
        </w:tc>
        <w:tc>
          <w:tcPr>
            <w:tcW w:w="3570" w:type="dxa"/>
            <w:vAlign w:val="center"/>
          </w:tcPr>
          <w:p>
            <w:pPr>
              <w:widowControl/>
              <w:ind w:firstLine="0" w:firstLineChars="0"/>
              <w:jc w:val="center"/>
              <w:rPr>
                <w:sz w:val="18"/>
                <w:szCs w:val="18"/>
              </w:rPr>
            </w:pPr>
            <w:r>
              <w:rPr>
                <w:rFonts w:hint="eastAsia"/>
                <w:sz w:val="18"/>
                <w:szCs w:val="18"/>
              </w:rPr>
              <w:t>广东省中等职业教育学前教育专业实训基地</w:t>
            </w:r>
          </w:p>
        </w:tc>
        <w:tc>
          <w:tcPr>
            <w:tcW w:w="3823" w:type="dxa"/>
            <w:vAlign w:val="center"/>
          </w:tcPr>
          <w:p>
            <w:pPr>
              <w:widowControl/>
              <w:ind w:firstLine="0" w:firstLineChars="0"/>
              <w:jc w:val="center"/>
              <w:rPr>
                <w:sz w:val="18"/>
                <w:szCs w:val="18"/>
              </w:rPr>
            </w:pPr>
            <w:r>
              <w:rPr>
                <w:rFonts w:hint="eastAsia"/>
                <w:sz w:val="18"/>
                <w:szCs w:val="18"/>
              </w:rPr>
              <w:t>钢琴实训室、电钢琴实训室、音乐厅，乐器室、声乐室、古筝室、保育婴活动实训室、舞蹈体形综合训练室、手工设计室等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widowControl/>
              <w:ind w:firstLine="0" w:firstLineChars="0"/>
              <w:jc w:val="center"/>
              <w:rPr>
                <w:sz w:val="18"/>
                <w:szCs w:val="18"/>
              </w:rPr>
            </w:pPr>
            <w:r>
              <w:rPr>
                <w:rFonts w:hint="eastAsia"/>
                <w:sz w:val="18"/>
                <w:szCs w:val="18"/>
              </w:rPr>
              <w:t>7</w:t>
            </w:r>
          </w:p>
        </w:tc>
        <w:tc>
          <w:tcPr>
            <w:tcW w:w="1365" w:type="dxa"/>
            <w:vAlign w:val="center"/>
          </w:tcPr>
          <w:p>
            <w:pPr>
              <w:widowControl/>
              <w:ind w:firstLine="0" w:firstLineChars="0"/>
              <w:jc w:val="center"/>
              <w:rPr>
                <w:sz w:val="18"/>
                <w:szCs w:val="18"/>
              </w:rPr>
            </w:pPr>
            <w:r>
              <w:rPr>
                <w:rFonts w:hint="eastAsia"/>
                <w:sz w:val="18"/>
                <w:szCs w:val="18"/>
              </w:rPr>
              <w:t>电子商务</w:t>
            </w:r>
          </w:p>
        </w:tc>
        <w:tc>
          <w:tcPr>
            <w:tcW w:w="3570" w:type="dxa"/>
            <w:vAlign w:val="center"/>
          </w:tcPr>
          <w:p>
            <w:pPr>
              <w:widowControl/>
              <w:ind w:firstLine="0" w:firstLineChars="0"/>
              <w:jc w:val="center"/>
              <w:rPr>
                <w:sz w:val="18"/>
                <w:szCs w:val="18"/>
              </w:rPr>
            </w:pPr>
            <w:r>
              <w:rPr>
                <w:rFonts w:hint="eastAsia"/>
                <w:sz w:val="18"/>
                <w:szCs w:val="18"/>
              </w:rPr>
              <w:t>广东省中等职业教育电子商务专业实训基地</w:t>
            </w:r>
          </w:p>
        </w:tc>
        <w:tc>
          <w:tcPr>
            <w:tcW w:w="3823" w:type="dxa"/>
            <w:vAlign w:val="center"/>
          </w:tcPr>
          <w:p>
            <w:pPr>
              <w:widowControl/>
              <w:ind w:firstLine="0" w:firstLineChars="0"/>
              <w:jc w:val="center"/>
              <w:rPr>
                <w:sz w:val="18"/>
                <w:szCs w:val="18"/>
              </w:rPr>
            </w:pPr>
            <w:r>
              <w:rPr>
                <w:rFonts w:hint="eastAsia"/>
                <w:sz w:val="18"/>
                <w:szCs w:val="18"/>
              </w:rPr>
              <w:t>电子商务产品摄像实训室、网上创业实训室、图像处理实训室、图像处理实训室、电子商务实训、电子商务物流实训室、揭阳捷和军埔电商产品摄像实训室、揭阳捷和军埔实战实训室、揭阳捷和军埔洽谈实训室和揭阳捷和军埔运营实训室等</w:t>
            </w:r>
          </w:p>
          <w:p>
            <w:pPr>
              <w:widowControl/>
              <w:ind w:firstLine="0" w:firstLineChars="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widowControl/>
              <w:ind w:firstLine="0" w:firstLineChars="0"/>
              <w:jc w:val="center"/>
              <w:rPr>
                <w:sz w:val="18"/>
                <w:szCs w:val="18"/>
              </w:rPr>
            </w:pPr>
            <w:r>
              <w:rPr>
                <w:rFonts w:hint="eastAsia"/>
                <w:sz w:val="18"/>
                <w:szCs w:val="18"/>
              </w:rPr>
              <w:t>8</w:t>
            </w:r>
          </w:p>
        </w:tc>
        <w:tc>
          <w:tcPr>
            <w:tcW w:w="1365" w:type="dxa"/>
            <w:vAlign w:val="center"/>
          </w:tcPr>
          <w:p>
            <w:pPr>
              <w:widowControl/>
              <w:ind w:firstLine="0" w:firstLineChars="0"/>
              <w:jc w:val="center"/>
              <w:rPr>
                <w:sz w:val="18"/>
                <w:szCs w:val="18"/>
              </w:rPr>
            </w:pPr>
            <w:r>
              <w:rPr>
                <w:rFonts w:hint="eastAsia"/>
                <w:sz w:val="18"/>
                <w:szCs w:val="18"/>
              </w:rPr>
              <w:t>会计</w:t>
            </w:r>
          </w:p>
        </w:tc>
        <w:tc>
          <w:tcPr>
            <w:tcW w:w="3570" w:type="dxa"/>
            <w:vAlign w:val="center"/>
          </w:tcPr>
          <w:p>
            <w:pPr>
              <w:widowControl/>
              <w:ind w:firstLine="0" w:firstLineChars="0"/>
              <w:jc w:val="center"/>
              <w:rPr>
                <w:sz w:val="18"/>
                <w:szCs w:val="18"/>
              </w:rPr>
            </w:pPr>
            <w:r>
              <w:rPr>
                <w:rFonts w:hint="eastAsia"/>
                <w:sz w:val="18"/>
                <w:szCs w:val="18"/>
              </w:rPr>
              <w:t>广东省中等职业教育会计专业实训基地</w:t>
            </w:r>
          </w:p>
        </w:tc>
        <w:tc>
          <w:tcPr>
            <w:tcW w:w="3823" w:type="dxa"/>
            <w:vAlign w:val="center"/>
          </w:tcPr>
          <w:p>
            <w:pPr>
              <w:widowControl/>
              <w:ind w:firstLine="0" w:firstLineChars="0"/>
              <w:jc w:val="center"/>
              <w:rPr>
                <w:sz w:val="18"/>
                <w:szCs w:val="18"/>
              </w:rPr>
            </w:pPr>
            <w:r>
              <w:rPr>
                <w:rFonts w:hint="eastAsia"/>
                <w:sz w:val="18"/>
                <w:szCs w:val="18"/>
              </w:rPr>
              <w:t>企业经营（沙盘模拟）实训室、会计手工实训室、会计手工实训室、会计电算化实训室等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widowControl/>
              <w:ind w:firstLine="0" w:firstLineChars="0"/>
              <w:jc w:val="center"/>
              <w:rPr>
                <w:sz w:val="18"/>
                <w:szCs w:val="18"/>
              </w:rPr>
            </w:pPr>
            <w:r>
              <w:rPr>
                <w:sz w:val="18"/>
                <w:szCs w:val="18"/>
              </w:rPr>
              <w:t>9</w:t>
            </w:r>
          </w:p>
        </w:tc>
        <w:tc>
          <w:tcPr>
            <w:tcW w:w="1365" w:type="dxa"/>
            <w:vAlign w:val="center"/>
          </w:tcPr>
          <w:p>
            <w:pPr>
              <w:widowControl/>
              <w:ind w:firstLine="0" w:firstLineChars="0"/>
              <w:jc w:val="center"/>
              <w:rPr>
                <w:sz w:val="18"/>
                <w:szCs w:val="18"/>
              </w:rPr>
            </w:pPr>
            <w:r>
              <w:rPr>
                <w:rFonts w:hint="eastAsia"/>
                <w:sz w:val="18"/>
                <w:szCs w:val="18"/>
              </w:rPr>
              <w:t>烹饪专业</w:t>
            </w:r>
          </w:p>
        </w:tc>
        <w:tc>
          <w:tcPr>
            <w:tcW w:w="3570" w:type="dxa"/>
            <w:vAlign w:val="center"/>
          </w:tcPr>
          <w:p>
            <w:pPr>
              <w:widowControl/>
              <w:ind w:firstLine="0" w:firstLineChars="0"/>
              <w:jc w:val="center"/>
              <w:rPr>
                <w:sz w:val="18"/>
                <w:szCs w:val="18"/>
              </w:rPr>
            </w:pPr>
            <w:r>
              <w:rPr>
                <w:rFonts w:hint="eastAsia"/>
                <w:sz w:val="18"/>
                <w:szCs w:val="18"/>
              </w:rPr>
              <w:t>区财政支持实训基地</w:t>
            </w:r>
          </w:p>
        </w:tc>
        <w:tc>
          <w:tcPr>
            <w:tcW w:w="3823" w:type="dxa"/>
            <w:vAlign w:val="center"/>
          </w:tcPr>
          <w:p>
            <w:pPr>
              <w:widowControl/>
              <w:ind w:firstLine="0" w:firstLineChars="0"/>
              <w:jc w:val="center"/>
              <w:rPr>
                <w:sz w:val="18"/>
                <w:szCs w:val="18"/>
              </w:rPr>
            </w:pPr>
            <w:r>
              <w:rPr>
                <w:rFonts w:hint="eastAsia"/>
                <w:sz w:val="18"/>
                <w:szCs w:val="18"/>
              </w:rPr>
              <w:t>基本功（刀工）实训室、基本功（鼎工）实训室</w:t>
            </w:r>
            <w:r>
              <w:rPr>
                <w:sz w:val="18"/>
                <w:szCs w:val="18"/>
              </w:rPr>
              <w:t xml:space="preserve">, </w:t>
            </w:r>
            <w:r>
              <w:rPr>
                <w:rFonts w:hint="eastAsia"/>
                <w:sz w:val="18"/>
                <w:szCs w:val="18"/>
              </w:rPr>
              <w:t>面点实训室、热菜示范实训室、热菜仿真实训室等（食堂三楼）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widowControl/>
              <w:ind w:firstLine="0" w:firstLineChars="0"/>
              <w:jc w:val="center"/>
              <w:rPr>
                <w:sz w:val="18"/>
                <w:szCs w:val="18"/>
              </w:rPr>
            </w:pPr>
            <w:r>
              <w:rPr>
                <w:sz w:val="18"/>
                <w:szCs w:val="18"/>
              </w:rPr>
              <w:t>10</w:t>
            </w:r>
          </w:p>
        </w:tc>
        <w:tc>
          <w:tcPr>
            <w:tcW w:w="1365" w:type="dxa"/>
            <w:vAlign w:val="center"/>
          </w:tcPr>
          <w:p>
            <w:pPr>
              <w:widowControl/>
              <w:ind w:firstLine="0" w:firstLineChars="0"/>
              <w:jc w:val="center"/>
              <w:rPr>
                <w:sz w:val="18"/>
                <w:szCs w:val="18"/>
              </w:rPr>
            </w:pPr>
            <w:r>
              <w:rPr>
                <w:rFonts w:hint="eastAsia"/>
                <w:sz w:val="18"/>
                <w:szCs w:val="18"/>
              </w:rPr>
              <w:t>动漫与游戏制作</w:t>
            </w:r>
          </w:p>
        </w:tc>
        <w:tc>
          <w:tcPr>
            <w:tcW w:w="3570" w:type="dxa"/>
            <w:vAlign w:val="center"/>
          </w:tcPr>
          <w:p>
            <w:pPr>
              <w:widowControl/>
              <w:ind w:firstLine="0" w:firstLineChars="0"/>
              <w:jc w:val="center"/>
              <w:rPr>
                <w:sz w:val="18"/>
                <w:szCs w:val="18"/>
              </w:rPr>
            </w:pPr>
            <w:r>
              <w:rPr>
                <w:rFonts w:hint="eastAsia"/>
                <w:sz w:val="18"/>
                <w:szCs w:val="18"/>
              </w:rPr>
              <w:t>区财政支持实训基地</w:t>
            </w:r>
          </w:p>
        </w:tc>
        <w:tc>
          <w:tcPr>
            <w:tcW w:w="3823" w:type="dxa"/>
            <w:vAlign w:val="center"/>
          </w:tcPr>
          <w:p>
            <w:pPr>
              <w:widowControl/>
              <w:ind w:firstLine="0" w:firstLineChars="0"/>
              <w:jc w:val="center"/>
              <w:rPr>
                <w:sz w:val="18"/>
                <w:szCs w:val="18"/>
              </w:rPr>
            </w:pPr>
            <w:r>
              <w:rPr>
                <w:rFonts w:hint="eastAsia"/>
                <w:sz w:val="18"/>
                <w:szCs w:val="18"/>
              </w:rPr>
              <w:t>动漫设计多媒体室、软件开发多媒体室、动漫制作实训室、动漫素描室等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widowControl/>
              <w:ind w:firstLine="0" w:firstLineChars="0"/>
              <w:jc w:val="center"/>
              <w:rPr>
                <w:sz w:val="18"/>
                <w:szCs w:val="18"/>
              </w:rPr>
            </w:pPr>
            <w:r>
              <w:rPr>
                <w:sz w:val="18"/>
                <w:szCs w:val="18"/>
              </w:rPr>
              <w:t>11</w:t>
            </w:r>
          </w:p>
        </w:tc>
        <w:tc>
          <w:tcPr>
            <w:tcW w:w="1365" w:type="dxa"/>
            <w:vAlign w:val="center"/>
          </w:tcPr>
          <w:p>
            <w:pPr>
              <w:widowControl/>
              <w:ind w:firstLine="0" w:firstLineChars="0"/>
              <w:jc w:val="center"/>
              <w:rPr>
                <w:sz w:val="18"/>
                <w:szCs w:val="18"/>
              </w:rPr>
            </w:pPr>
            <w:r>
              <w:rPr>
                <w:rFonts w:hint="eastAsia"/>
                <w:sz w:val="18"/>
                <w:szCs w:val="18"/>
              </w:rPr>
              <w:t>美术设计与制作</w:t>
            </w:r>
          </w:p>
        </w:tc>
        <w:tc>
          <w:tcPr>
            <w:tcW w:w="3570" w:type="dxa"/>
            <w:vAlign w:val="center"/>
          </w:tcPr>
          <w:p>
            <w:pPr>
              <w:widowControl/>
              <w:ind w:firstLine="0" w:firstLineChars="0"/>
              <w:jc w:val="center"/>
              <w:rPr>
                <w:sz w:val="18"/>
                <w:szCs w:val="18"/>
              </w:rPr>
            </w:pPr>
            <w:r>
              <w:rPr>
                <w:rFonts w:hint="eastAsia"/>
                <w:sz w:val="18"/>
                <w:szCs w:val="18"/>
              </w:rPr>
              <w:t>区财政支持实训基地</w:t>
            </w:r>
          </w:p>
        </w:tc>
        <w:tc>
          <w:tcPr>
            <w:tcW w:w="3823" w:type="dxa"/>
            <w:vAlign w:val="center"/>
          </w:tcPr>
          <w:p>
            <w:pPr>
              <w:widowControl/>
              <w:ind w:firstLine="0" w:firstLineChars="0"/>
              <w:jc w:val="center"/>
              <w:rPr>
                <w:sz w:val="18"/>
                <w:szCs w:val="18"/>
              </w:rPr>
            </w:pPr>
            <w:r>
              <w:rPr>
                <w:rFonts w:hint="eastAsia"/>
                <w:sz w:val="18"/>
                <w:szCs w:val="18"/>
              </w:rPr>
              <w:t>美术室3间、美术器材室等</w:t>
            </w:r>
          </w:p>
        </w:tc>
      </w:tr>
    </w:tbl>
    <w:p>
      <w:pPr>
        <w:pStyle w:val="3"/>
      </w:pPr>
      <w:bookmarkStart w:id="129" w:name="_Toc29995153"/>
      <w:bookmarkStart w:id="130" w:name="_Toc505003804"/>
      <w:r>
        <w:rPr>
          <w:rFonts w:hint="eastAsia"/>
        </w:rPr>
        <w:t>3.3 教师培养培训</w:t>
      </w:r>
      <w:bookmarkEnd w:id="129"/>
      <w:bookmarkEnd w:id="130"/>
    </w:p>
    <w:p>
      <w:pPr>
        <w:pStyle w:val="13"/>
        <w:shd w:val="clear" w:color="auto" w:fill="FFFFFF"/>
        <w:spacing w:beforeAutospacing="0" w:afterAutospacing="0"/>
        <w:ind w:firstLine="602" w:firstLineChars="250"/>
        <w:jc w:val="both"/>
        <w:rPr>
          <w:rFonts w:ascii="仿宋_GB2312" w:hAnsi="Times New Roman" w:eastAsia="仿宋_GB2312"/>
          <w:b/>
          <w:kern w:val="2"/>
        </w:rPr>
      </w:pPr>
      <w:r>
        <w:rPr>
          <w:rFonts w:hint="eastAsia" w:ascii="仿宋_GB2312" w:hAnsi="Times New Roman" w:eastAsia="仿宋_GB2312"/>
          <w:b/>
          <w:kern w:val="2"/>
        </w:rPr>
        <w:t>加强师资队伍建设，提高师资队伍质量，提升学校办学效益和质量。</w:t>
      </w:r>
    </w:p>
    <w:p>
      <w:pPr>
        <w:pStyle w:val="4"/>
      </w:pPr>
      <w:bookmarkStart w:id="131" w:name="_Toc505003805"/>
      <w:bookmarkStart w:id="132" w:name="_Toc29995154"/>
      <w:r>
        <w:rPr>
          <w:rFonts w:hint="eastAsia"/>
        </w:rPr>
        <w:t>3.3.1加强师德教育</w:t>
      </w:r>
      <w:bookmarkEnd w:id="131"/>
      <w:bookmarkEnd w:id="132"/>
    </w:p>
    <w:p>
      <w:pPr>
        <w:pStyle w:val="13"/>
        <w:shd w:val="clear" w:color="auto" w:fill="FFFFFF"/>
        <w:spacing w:beforeAutospacing="0" w:afterAutospacing="0"/>
        <w:ind w:firstLine="480"/>
      </w:pPr>
      <w:r>
        <w:rPr>
          <w:rFonts w:hint="eastAsia"/>
        </w:rPr>
        <w:t>开展一系列师德教育活动，树立“知识与技能并重、规范与个性并存、科学与人文并举”的教育理念，全面实施“师表工程”，提升教师形象，选取德才兼备的教师加入到管理队伍中，优化组合，强化班子建设，提升执行力。</w:t>
      </w:r>
    </w:p>
    <w:p>
      <w:pPr>
        <w:pStyle w:val="4"/>
      </w:pPr>
      <w:bookmarkStart w:id="133" w:name="_Toc505003806"/>
      <w:bookmarkStart w:id="134" w:name="_Toc29995155"/>
      <w:r>
        <w:rPr>
          <w:rFonts w:hint="eastAsia"/>
        </w:rPr>
        <w:t>3.3.2加强培训进修</w:t>
      </w:r>
      <w:bookmarkEnd w:id="133"/>
      <w:bookmarkEnd w:id="134"/>
    </w:p>
    <w:p>
      <w:pPr>
        <w:ind w:firstLine="480"/>
      </w:pPr>
      <w:r>
        <w:rPr>
          <w:rFonts w:hint="eastAsia"/>
        </w:rPr>
        <w:t>按照以“整体推进、分层发展、协同优化”的基本策略，以“请进来走出去”的形式，制定系统的教师培训计划，建立专业课教师定期到企业参加生产实践的制度。2018--2019学年度，我校教师开展各类教师培养活动具体如下：</w:t>
      </w:r>
    </w:p>
    <w:p>
      <w:pPr>
        <w:spacing w:line="480" w:lineRule="exact"/>
        <w:ind w:firstLine="480"/>
        <w:rPr>
          <w:rFonts w:hint="eastAsia"/>
        </w:rPr>
      </w:pPr>
      <w:r>
        <w:rPr>
          <w:rFonts w:hint="eastAsia"/>
        </w:rPr>
        <w:t>学校重视新教师的培养工作。每位新教师都安排相应的骨干教师从教学、业务等方面进行传帮带，并在本学期举行了新教师入门汇报课的听评课活动。</w:t>
      </w:r>
    </w:p>
    <w:p>
      <w:pPr>
        <w:spacing w:line="480" w:lineRule="exact"/>
        <w:ind w:firstLine="480"/>
        <w:rPr>
          <w:rFonts w:hint="eastAsia"/>
          <w:color w:val="C0504D"/>
        </w:rPr>
      </w:pPr>
    </w:p>
    <w:tbl>
      <w:tblPr>
        <w:tblStyle w:val="14"/>
        <w:tblW w:w="8946" w:type="dxa"/>
        <w:tblInd w:w="93" w:type="dxa"/>
        <w:tblLayout w:type="fixed"/>
        <w:tblCellMar>
          <w:top w:w="0" w:type="dxa"/>
          <w:left w:w="108" w:type="dxa"/>
          <w:bottom w:w="0" w:type="dxa"/>
          <w:right w:w="108" w:type="dxa"/>
        </w:tblCellMar>
      </w:tblPr>
      <w:tblGrid>
        <w:gridCol w:w="540"/>
        <w:gridCol w:w="1885"/>
        <w:gridCol w:w="1418"/>
        <w:gridCol w:w="2409"/>
        <w:gridCol w:w="1134"/>
        <w:gridCol w:w="1560"/>
      </w:tblGrid>
      <w:tr>
        <w:tblPrEx>
          <w:tblCellMar>
            <w:top w:w="0" w:type="dxa"/>
            <w:left w:w="108" w:type="dxa"/>
            <w:bottom w:w="0" w:type="dxa"/>
            <w:right w:w="108" w:type="dxa"/>
          </w:tblCellMar>
        </w:tblPrEx>
        <w:trPr>
          <w:trHeight w:val="690" w:hRule="atLeast"/>
        </w:trPr>
        <w:tc>
          <w:tcPr>
            <w:tcW w:w="54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b/>
                <w:kern w:val="0"/>
                <w:sz w:val="18"/>
                <w:szCs w:val="18"/>
              </w:rPr>
            </w:pPr>
            <w:r>
              <w:rPr>
                <w:rFonts w:hint="eastAsia" w:ascii="宋体" w:hAnsi="宋体" w:cs="宋体"/>
                <w:b/>
                <w:kern w:val="0"/>
                <w:sz w:val="18"/>
                <w:szCs w:val="18"/>
              </w:rPr>
              <w:t>序号</w:t>
            </w:r>
          </w:p>
        </w:tc>
        <w:tc>
          <w:tcPr>
            <w:tcW w:w="1885" w:type="dxa"/>
            <w:tcBorders>
              <w:top w:val="single" w:color="auto" w:sz="4" w:space="0"/>
              <w:left w:val="nil"/>
              <w:bottom w:val="single" w:color="auto" w:sz="4" w:space="0"/>
              <w:right w:val="single" w:color="auto" w:sz="4" w:space="0"/>
            </w:tcBorders>
            <w:vAlign w:val="center"/>
          </w:tcPr>
          <w:p>
            <w:pPr>
              <w:widowControl/>
              <w:ind w:firstLine="163" w:firstLineChars="90"/>
              <w:jc w:val="center"/>
              <w:rPr>
                <w:rFonts w:ascii="宋体" w:hAnsi="宋体" w:cs="宋体"/>
                <w:b/>
                <w:kern w:val="0"/>
                <w:sz w:val="18"/>
                <w:szCs w:val="18"/>
              </w:rPr>
            </w:pPr>
            <w:r>
              <w:rPr>
                <w:rFonts w:hint="eastAsia" w:ascii="宋体" w:hAnsi="宋体" w:cs="宋体"/>
                <w:b/>
                <w:kern w:val="0"/>
                <w:sz w:val="18"/>
                <w:szCs w:val="18"/>
              </w:rPr>
              <w:t>时间</w:t>
            </w:r>
          </w:p>
        </w:tc>
        <w:tc>
          <w:tcPr>
            <w:tcW w:w="1418" w:type="dxa"/>
            <w:tcBorders>
              <w:top w:val="single" w:color="auto" w:sz="4" w:space="0"/>
              <w:left w:val="nil"/>
              <w:bottom w:val="single" w:color="auto" w:sz="4" w:space="0"/>
              <w:right w:val="single" w:color="auto" w:sz="4" w:space="0"/>
            </w:tcBorders>
            <w:vAlign w:val="center"/>
          </w:tcPr>
          <w:p>
            <w:pPr>
              <w:widowControl/>
              <w:ind w:firstLine="163" w:firstLineChars="90"/>
              <w:jc w:val="center"/>
              <w:rPr>
                <w:rFonts w:ascii="宋体" w:hAnsi="宋体" w:cs="宋体"/>
                <w:b/>
                <w:kern w:val="0"/>
                <w:sz w:val="18"/>
                <w:szCs w:val="18"/>
              </w:rPr>
            </w:pPr>
            <w:r>
              <w:rPr>
                <w:rFonts w:hint="eastAsia" w:ascii="宋体" w:hAnsi="宋体" w:cs="宋体"/>
                <w:b/>
                <w:kern w:val="0"/>
                <w:sz w:val="18"/>
                <w:szCs w:val="18"/>
              </w:rPr>
              <w:t>班级</w:t>
            </w:r>
          </w:p>
        </w:tc>
        <w:tc>
          <w:tcPr>
            <w:tcW w:w="2409" w:type="dxa"/>
            <w:tcBorders>
              <w:top w:val="single" w:color="auto" w:sz="4" w:space="0"/>
              <w:left w:val="nil"/>
              <w:bottom w:val="single" w:color="auto" w:sz="4" w:space="0"/>
              <w:right w:val="single" w:color="auto" w:sz="4" w:space="0"/>
            </w:tcBorders>
            <w:vAlign w:val="center"/>
          </w:tcPr>
          <w:p>
            <w:pPr>
              <w:widowControl/>
              <w:ind w:firstLine="163" w:firstLineChars="90"/>
              <w:jc w:val="center"/>
              <w:rPr>
                <w:rFonts w:ascii="宋体" w:hAnsi="宋体" w:cs="宋体"/>
                <w:b/>
                <w:kern w:val="0"/>
                <w:sz w:val="18"/>
                <w:szCs w:val="18"/>
              </w:rPr>
            </w:pPr>
            <w:r>
              <w:rPr>
                <w:rFonts w:hint="eastAsia" w:ascii="宋体" w:hAnsi="宋体" w:cs="宋体"/>
                <w:b/>
                <w:kern w:val="0"/>
                <w:sz w:val="18"/>
                <w:szCs w:val="18"/>
              </w:rPr>
              <w:t>课题</w:t>
            </w:r>
          </w:p>
        </w:tc>
        <w:tc>
          <w:tcPr>
            <w:tcW w:w="1134"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b/>
                <w:kern w:val="0"/>
                <w:sz w:val="18"/>
                <w:szCs w:val="18"/>
              </w:rPr>
            </w:pPr>
            <w:r>
              <w:rPr>
                <w:rFonts w:hint="eastAsia" w:ascii="宋体" w:hAnsi="宋体" w:cs="宋体"/>
                <w:b/>
                <w:kern w:val="0"/>
                <w:sz w:val="18"/>
                <w:szCs w:val="18"/>
              </w:rPr>
              <w:t>授课教师</w:t>
            </w:r>
          </w:p>
        </w:tc>
        <w:tc>
          <w:tcPr>
            <w:tcW w:w="1560"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b/>
                <w:kern w:val="0"/>
                <w:sz w:val="18"/>
                <w:szCs w:val="18"/>
              </w:rPr>
            </w:pPr>
            <w:r>
              <w:rPr>
                <w:rFonts w:hint="eastAsia" w:ascii="宋体" w:hAnsi="宋体" w:cs="宋体"/>
                <w:b/>
                <w:kern w:val="0"/>
                <w:sz w:val="18"/>
                <w:szCs w:val="18"/>
              </w:rPr>
              <w:t>主持部门</w:t>
            </w:r>
          </w:p>
        </w:tc>
      </w:tr>
      <w:tr>
        <w:tblPrEx>
          <w:tblCellMar>
            <w:top w:w="0" w:type="dxa"/>
            <w:left w:w="108" w:type="dxa"/>
            <w:bottom w:w="0" w:type="dxa"/>
            <w:right w:w="108" w:type="dxa"/>
          </w:tblCellMar>
        </w:tblPrEx>
        <w:trPr>
          <w:trHeight w:val="690" w:hRule="atLeast"/>
        </w:trPr>
        <w:tc>
          <w:tcPr>
            <w:tcW w:w="54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hint="eastAsia" w:ascii="宋体" w:hAnsi="宋体" w:cs="宋体"/>
                <w:kern w:val="0"/>
                <w:sz w:val="18"/>
                <w:szCs w:val="18"/>
              </w:rPr>
            </w:pPr>
            <w:r>
              <w:rPr>
                <w:rFonts w:hint="eastAsia" w:ascii="宋体" w:hAnsi="宋体" w:cs="宋体"/>
                <w:kern w:val="0"/>
                <w:sz w:val="18"/>
                <w:szCs w:val="18"/>
              </w:rPr>
              <w:t>1</w:t>
            </w:r>
          </w:p>
        </w:tc>
        <w:tc>
          <w:tcPr>
            <w:tcW w:w="188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第5周星期四第1节</w:t>
            </w:r>
          </w:p>
        </w:tc>
        <w:tc>
          <w:tcPr>
            <w:tcW w:w="141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sz w:val="18"/>
                <w:szCs w:val="18"/>
              </w:rPr>
              <w:t>18级（17）</w:t>
            </w:r>
          </w:p>
        </w:tc>
        <w:tc>
          <w:tcPr>
            <w:tcW w:w="240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sz w:val="18"/>
                <w:szCs w:val="18"/>
              </w:rPr>
              <w:t>《养成良好的职业行为习惯》</w:t>
            </w:r>
          </w:p>
        </w:tc>
        <w:tc>
          <w:tcPr>
            <w:tcW w:w="113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sz w:val="18"/>
                <w:szCs w:val="18"/>
              </w:rPr>
              <w:t>李妙霞</w:t>
            </w:r>
          </w:p>
        </w:tc>
        <w:tc>
          <w:tcPr>
            <w:tcW w:w="1560" w:type="dxa"/>
            <w:tcBorders>
              <w:top w:val="nil"/>
              <w:left w:val="nil"/>
              <w:bottom w:val="single" w:color="auto" w:sz="4" w:space="0"/>
              <w:right w:val="single" w:color="auto" w:sz="4" w:space="0"/>
            </w:tcBorders>
            <w:vAlign w:val="center"/>
          </w:tcPr>
          <w:p>
            <w:pPr>
              <w:adjustRightInd w:val="0"/>
              <w:snapToGrid w:val="0"/>
              <w:ind w:firstLine="0" w:firstLineChars="0"/>
              <w:jc w:val="center"/>
              <w:rPr>
                <w:sz w:val="18"/>
                <w:szCs w:val="18"/>
              </w:rPr>
            </w:pPr>
            <w:r>
              <w:rPr>
                <w:rFonts w:hint="eastAsia"/>
                <w:sz w:val="18"/>
                <w:szCs w:val="18"/>
              </w:rPr>
              <w:t>教务科、财贸部</w:t>
            </w:r>
          </w:p>
        </w:tc>
      </w:tr>
      <w:tr>
        <w:tblPrEx>
          <w:tblCellMar>
            <w:top w:w="0" w:type="dxa"/>
            <w:left w:w="108" w:type="dxa"/>
            <w:bottom w:w="0" w:type="dxa"/>
            <w:right w:w="108" w:type="dxa"/>
          </w:tblCellMar>
        </w:tblPrEx>
        <w:trPr>
          <w:trHeight w:val="690" w:hRule="atLeast"/>
        </w:trPr>
        <w:tc>
          <w:tcPr>
            <w:tcW w:w="54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hint="eastAsia" w:ascii="宋体" w:hAnsi="宋体" w:cs="宋体"/>
                <w:kern w:val="0"/>
                <w:sz w:val="18"/>
                <w:szCs w:val="18"/>
              </w:rPr>
            </w:pPr>
            <w:r>
              <w:rPr>
                <w:rFonts w:hint="eastAsia" w:ascii="宋体" w:hAnsi="宋体" w:cs="宋体"/>
                <w:kern w:val="0"/>
                <w:sz w:val="18"/>
                <w:szCs w:val="18"/>
              </w:rPr>
              <w:t>2</w:t>
            </w:r>
          </w:p>
        </w:tc>
        <w:tc>
          <w:tcPr>
            <w:tcW w:w="188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第5周星期四第3节</w:t>
            </w:r>
          </w:p>
        </w:tc>
        <w:tc>
          <w:tcPr>
            <w:tcW w:w="141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sz w:val="18"/>
                <w:szCs w:val="18"/>
              </w:rPr>
              <w:t>18级（24）</w:t>
            </w:r>
          </w:p>
        </w:tc>
        <w:tc>
          <w:tcPr>
            <w:tcW w:w="240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sz w:val="18"/>
                <w:szCs w:val="18"/>
              </w:rPr>
              <w:t>《Unit5》</w:t>
            </w:r>
          </w:p>
        </w:tc>
        <w:tc>
          <w:tcPr>
            <w:tcW w:w="113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sz w:val="18"/>
                <w:szCs w:val="18"/>
              </w:rPr>
              <w:t>卢童晓</w:t>
            </w:r>
          </w:p>
        </w:tc>
        <w:tc>
          <w:tcPr>
            <w:tcW w:w="1560" w:type="dxa"/>
            <w:tcBorders>
              <w:top w:val="nil"/>
              <w:left w:val="nil"/>
              <w:bottom w:val="single" w:color="auto" w:sz="4" w:space="0"/>
              <w:right w:val="single" w:color="auto" w:sz="4" w:space="0"/>
            </w:tcBorders>
            <w:vAlign w:val="center"/>
          </w:tcPr>
          <w:p>
            <w:pPr>
              <w:adjustRightInd w:val="0"/>
              <w:snapToGrid w:val="0"/>
              <w:ind w:firstLine="0" w:firstLineChars="0"/>
              <w:jc w:val="center"/>
              <w:rPr>
                <w:sz w:val="18"/>
                <w:szCs w:val="18"/>
              </w:rPr>
            </w:pPr>
            <w:r>
              <w:rPr>
                <w:rFonts w:hint="eastAsia"/>
                <w:sz w:val="18"/>
                <w:szCs w:val="18"/>
              </w:rPr>
              <w:t>教务科、文艺部</w:t>
            </w:r>
          </w:p>
        </w:tc>
      </w:tr>
      <w:tr>
        <w:tblPrEx>
          <w:tblCellMar>
            <w:top w:w="0" w:type="dxa"/>
            <w:left w:w="108" w:type="dxa"/>
            <w:bottom w:w="0" w:type="dxa"/>
            <w:right w:w="108" w:type="dxa"/>
          </w:tblCellMar>
        </w:tblPrEx>
        <w:trPr>
          <w:trHeight w:val="690" w:hRule="atLeast"/>
        </w:trPr>
        <w:tc>
          <w:tcPr>
            <w:tcW w:w="54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hint="eastAsia" w:ascii="宋体" w:hAnsi="宋体" w:cs="宋体"/>
                <w:kern w:val="0"/>
                <w:sz w:val="18"/>
                <w:szCs w:val="18"/>
              </w:rPr>
            </w:pPr>
            <w:r>
              <w:rPr>
                <w:rFonts w:hint="eastAsia" w:ascii="宋体" w:hAnsi="宋体" w:cs="宋体"/>
                <w:kern w:val="0"/>
                <w:sz w:val="18"/>
                <w:szCs w:val="18"/>
              </w:rPr>
              <w:t>3</w:t>
            </w:r>
          </w:p>
        </w:tc>
        <w:tc>
          <w:tcPr>
            <w:tcW w:w="1885" w:type="dxa"/>
            <w:tcBorders>
              <w:top w:val="nil"/>
              <w:left w:val="nil"/>
              <w:bottom w:val="single" w:color="auto" w:sz="4" w:space="0"/>
              <w:right w:val="single" w:color="auto" w:sz="4" w:space="0"/>
            </w:tcBorders>
            <w:vAlign w:val="center"/>
          </w:tcPr>
          <w:p>
            <w:pPr>
              <w:widowControl/>
              <w:ind w:firstLine="0" w:firstLineChars="0"/>
              <w:jc w:val="center"/>
              <w:rPr>
                <w:rFonts w:hint="eastAsia" w:ascii="宋体" w:hAnsi="宋体" w:cs="宋体"/>
                <w:kern w:val="0"/>
                <w:sz w:val="18"/>
                <w:szCs w:val="18"/>
              </w:rPr>
            </w:pPr>
            <w:r>
              <w:rPr>
                <w:rFonts w:hint="eastAsia" w:ascii="宋体" w:hAnsi="宋体" w:cs="宋体"/>
                <w:kern w:val="0"/>
                <w:sz w:val="18"/>
                <w:szCs w:val="18"/>
              </w:rPr>
              <w:t>第9周星期二第1节</w:t>
            </w:r>
          </w:p>
        </w:tc>
        <w:tc>
          <w:tcPr>
            <w:tcW w:w="1418" w:type="dxa"/>
            <w:tcBorders>
              <w:top w:val="nil"/>
              <w:left w:val="nil"/>
              <w:bottom w:val="single" w:color="auto" w:sz="4" w:space="0"/>
              <w:right w:val="single" w:color="auto" w:sz="4" w:space="0"/>
            </w:tcBorders>
            <w:vAlign w:val="center"/>
          </w:tcPr>
          <w:p>
            <w:pPr>
              <w:widowControl/>
              <w:ind w:firstLine="0" w:firstLineChars="0"/>
              <w:jc w:val="center"/>
              <w:rPr>
                <w:rFonts w:hint="eastAsia"/>
                <w:sz w:val="18"/>
                <w:szCs w:val="18"/>
              </w:rPr>
            </w:pPr>
            <w:r>
              <w:rPr>
                <w:rFonts w:hint="eastAsia" w:ascii="宋体" w:hAnsi="宋体"/>
                <w:sz w:val="18"/>
                <w:szCs w:val="18"/>
              </w:rPr>
              <w:t>18级（17）</w:t>
            </w:r>
          </w:p>
        </w:tc>
        <w:tc>
          <w:tcPr>
            <w:tcW w:w="2409" w:type="dxa"/>
            <w:tcBorders>
              <w:top w:val="nil"/>
              <w:left w:val="nil"/>
              <w:bottom w:val="single" w:color="auto" w:sz="4" w:space="0"/>
              <w:right w:val="single" w:color="auto" w:sz="4" w:space="0"/>
            </w:tcBorders>
            <w:vAlign w:val="center"/>
          </w:tcPr>
          <w:p>
            <w:pPr>
              <w:widowControl/>
              <w:ind w:firstLine="0" w:firstLineChars="0"/>
              <w:jc w:val="center"/>
              <w:rPr>
                <w:rFonts w:hint="eastAsia"/>
                <w:sz w:val="18"/>
                <w:szCs w:val="18"/>
              </w:rPr>
            </w:pPr>
            <w:r>
              <w:rPr>
                <w:rFonts w:hint="eastAsia" w:ascii="宋体" w:hAnsi="宋体"/>
                <w:sz w:val="18"/>
                <w:szCs w:val="18"/>
              </w:rPr>
              <w:t>《玫瑰》</w:t>
            </w:r>
          </w:p>
        </w:tc>
        <w:tc>
          <w:tcPr>
            <w:tcW w:w="1134" w:type="dxa"/>
            <w:tcBorders>
              <w:top w:val="nil"/>
              <w:left w:val="nil"/>
              <w:bottom w:val="single" w:color="auto" w:sz="4" w:space="0"/>
              <w:right w:val="single" w:color="auto" w:sz="4" w:space="0"/>
            </w:tcBorders>
            <w:vAlign w:val="center"/>
          </w:tcPr>
          <w:p>
            <w:pPr>
              <w:widowControl/>
              <w:ind w:firstLine="0" w:firstLineChars="0"/>
              <w:jc w:val="center"/>
              <w:rPr>
                <w:rFonts w:hint="eastAsia"/>
                <w:sz w:val="18"/>
                <w:szCs w:val="18"/>
              </w:rPr>
            </w:pPr>
            <w:r>
              <w:rPr>
                <w:rFonts w:hint="eastAsia" w:ascii="宋体" w:hAnsi="宋体"/>
                <w:sz w:val="18"/>
                <w:szCs w:val="18"/>
              </w:rPr>
              <w:t>郭旭钊</w:t>
            </w:r>
          </w:p>
        </w:tc>
        <w:tc>
          <w:tcPr>
            <w:tcW w:w="1560" w:type="dxa"/>
            <w:tcBorders>
              <w:top w:val="nil"/>
              <w:left w:val="nil"/>
              <w:bottom w:val="single" w:color="auto" w:sz="4" w:space="0"/>
              <w:right w:val="single" w:color="auto" w:sz="4" w:space="0"/>
            </w:tcBorders>
            <w:vAlign w:val="center"/>
          </w:tcPr>
          <w:p>
            <w:pPr>
              <w:adjustRightInd w:val="0"/>
              <w:snapToGrid w:val="0"/>
              <w:ind w:firstLine="0" w:firstLineChars="0"/>
              <w:jc w:val="center"/>
              <w:rPr>
                <w:rFonts w:hint="eastAsia" w:ascii="宋体" w:hAnsi="宋体"/>
                <w:sz w:val="18"/>
                <w:szCs w:val="18"/>
              </w:rPr>
            </w:pPr>
            <w:r>
              <w:rPr>
                <w:rFonts w:hint="eastAsia" w:ascii="宋体" w:hAnsi="宋体"/>
                <w:sz w:val="18"/>
                <w:szCs w:val="18"/>
              </w:rPr>
              <w:t>教务科、财贸部</w:t>
            </w:r>
          </w:p>
        </w:tc>
      </w:tr>
      <w:tr>
        <w:tblPrEx>
          <w:tblCellMar>
            <w:top w:w="0" w:type="dxa"/>
            <w:left w:w="108" w:type="dxa"/>
            <w:bottom w:w="0" w:type="dxa"/>
            <w:right w:w="108" w:type="dxa"/>
          </w:tblCellMar>
        </w:tblPrEx>
        <w:trPr>
          <w:trHeight w:val="690" w:hRule="atLeast"/>
        </w:trPr>
        <w:tc>
          <w:tcPr>
            <w:tcW w:w="54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hint="eastAsia" w:ascii="宋体" w:hAnsi="宋体" w:cs="宋体"/>
                <w:kern w:val="0"/>
                <w:sz w:val="18"/>
                <w:szCs w:val="18"/>
              </w:rPr>
            </w:pPr>
            <w:r>
              <w:rPr>
                <w:rFonts w:hint="eastAsia" w:ascii="宋体" w:hAnsi="宋体" w:cs="宋体"/>
                <w:kern w:val="0"/>
                <w:sz w:val="18"/>
                <w:szCs w:val="18"/>
              </w:rPr>
              <w:t>4</w:t>
            </w:r>
          </w:p>
        </w:tc>
        <w:tc>
          <w:tcPr>
            <w:tcW w:w="1885" w:type="dxa"/>
            <w:tcBorders>
              <w:top w:val="nil"/>
              <w:left w:val="nil"/>
              <w:bottom w:val="single" w:color="auto" w:sz="4" w:space="0"/>
              <w:right w:val="single" w:color="auto" w:sz="4" w:space="0"/>
            </w:tcBorders>
            <w:vAlign w:val="center"/>
          </w:tcPr>
          <w:p>
            <w:pPr>
              <w:widowControl/>
              <w:ind w:firstLine="0" w:firstLineChars="0"/>
              <w:jc w:val="center"/>
              <w:rPr>
                <w:rFonts w:hint="eastAsia" w:ascii="宋体" w:hAnsi="宋体" w:cs="宋体"/>
                <w:kern w:val="0"/>
                <w:sz w:val="18"/>
                <w:szCs w:val="18"/>
              </w:rPr>
            </w:pPr>
            <w:r>
              <w:rPr>
                <w:rFonts w:hint="eastAsia" w:ascii="宋体" w:hAnsi="宋体" w:cs="宋体"/>
                <w:kern w:val="0"/>
                <w:sz w:val="18"/>
                <w:szCs w:val="18"/>
              </w:rPr>
              <w:t>第9周星期四第5节</w:t>
            </w:r>
          </w:p>
        </w:tc>
        <w:tc>
          <w:tcPr>
            <w:tcW w:w="1418" w:type="dxa"/>
            <w:tcBorders>
              <w:top w:val="nil"/>
              <w:left w:val="nil"/>
              <w:bottom w:val="single" w:color="auto" w:sz="4" w:space="0"/>
              <w:right w:val="single" w:color="auto" w:sz="4" w:space="0"/>
            </w:tcBorders>
            <w:vAlign w:val="center"/>
          </w:tcPr>
          <w:p>
            <w:pPr>
              <w:widowControl/>
              <w:ind w:firstLine="0" w:firstLineChars="0"/>
              <w:jc w:val="center"/>
              <w:rPr>
                <w:rFonts w:hint="eastAsia"/>
                <w:sz w:val="18"/>
                <w:szCs w:val="18"/>
              </w:rPr>
            </w:pPr>
            <w:r>
              <w:rPr>
                <w:rFonts w:hint="eastAsia" w:ascii="宋体" w:hAnsi="宋体"/>
                <w:sz w:val="18"/>
                <w:szCs w:val="18"/>
              </w:rPr>
              <w:t>18级（14）</w:t>
            </w:r>
          </w:p>
        </w:tc>
        <w:tc>
          <w:tcPr>
            <w:tcW w:w="2409" w:type="dxa"/>
            <w:tcBorders>
              <w:top w:val="nil"/>
              <w:left w:val="nil"/>
              <w:bottom w:val="single" w:color="auto" w:sz="4" w:space="0"/>
              <w:right w:val="single" w:color="auto" w:sz="4" w:space="0"/>
            </w:tcBorders>
            <w:vAlign w:val="center"/>
          </w:tcPr>
          <w:p>
            <w:pPr>
              <w:widowControl/>
              <w:ind w:firstLine="0" w:firstLineChars="0"/>
              <w:jc w:val="center"/>
              <w:rPr>
                <w:rFonts w:hint="eastAsia"/>
                <w:sz w:val="18"/>
                <w:szCs w:val="18"/>
              </w:rPr>
            </w:pPr>
            <w:r>
              <w:rPr>
                <w:rFonts w:hint="eastAsia" w:ascii="宋体" w:hAnsi="宋体"/>
                <w:sz w:val="18"/>
                <w:szCs w:val="18"/>
              </w:rPr>
              <w:t>《Unit 8》</w:t>
            </w:r>
          </w:p>
        </w:tc>
        <w:tc>
          <w:tcPr>
            <w:tcW w:w="1134" w:type="dxa"/>
            <w:tcBorders>
              <w:top w:val="nil"/>
              <w:left w:val="nil"/>
              <w:bottom w:val="single" w:color="auto" w:sz="4" w:space="0"/>
              <w:right w:val="single" w:color="auto" w:sz="4" w:space="0"/>
            </w:tcBorders>
            <w:vAlign w:val="center"/>
          </w:tcPr>
          <w:p>
            <w:pPr>
              <w:widowControl/>
              <w:ind w:firstLine="0" w:firstLineChars="0"/>
              <w:jc w:val="center"/>
              <w:rPr>
                <w:rFonts w:hint="eastAsia"/>
                <w:sz w:val="18"/>
                <w:szCs w:val="18"/>
              </w:rPr>
            </w:pPr>
            <w:r>
              <w:rPr>
                <w:rFonts w:hint="eastAsia" w:ascii="宋体" w:hAnsi="宋体"/>
                <w:sz w:val="18"/>
                <w:szCs w:val="18"/>
              </w:rPr>
              <w:t>杨欢跃</w:t>
            </w:r>
          </w:p>
        </w:tc>
        <w:tc>
          <w:tcPr>
            <w:tcW w:w="1560" w:type="dxa"/>
            <w:tcBorders>
              <w:top w:val="nil"/>
              <w:left w:val="nil"/>
              <w:bottom w:val="single" w:color="auto" w:sz="4" w:space="0"/>
              <w:right w:val="single" w:color="auto" w:sz="4" w:space="0"/>
            </w:tcBorders>
            <w:vAlign w:val="center"/>
          </w:tcPr>
          <w:p>
            <w:pPr>
              <w:adjustRightInd w:val="0"/>
              <w:snapToGrid w:val="0"/>
              <w:ind w:firstLine="0" w:firstLineChars="0"/>
              <w:jc w:val="center"/>
              <w:rPr>
                <w:rFonts w:hint="eastAsia" w:ascii="宋体" w:hAnsi="宋体"/>
                <w:sz w:val="18"/>
                <w:szCs w:val="18"/>
              </w:rPr>
            </w:pPr>
            <w:r>
              <w:rPr>
                <w:rFonts w:hint="eastAsia" w:ascii="宋体" w:hAnsi="宋体"/>
                <w:sz w:val="18"/>
                <w:szCs w:val="18"/>
              </w:rPr>
              <w:t>教务科、财贸部</w:t>
            </w:r>
          </w:p>
        </w:tc>
      </w:tr>
      <w:tr>
        <w:tblPrEx>
          <w:tblCellMar>
            <w:top w:w="0" w:type="dxa"/>
            <w:left w:w="108" w:type="dxa"/>
            <w:bottom w:w="0" w:type="dxa"/>
            <w:right w:w="108" w:type="dxa"/>
          </w:tblCellMar>
        </w:tblPrEx>
        <w:trPr>
          <w:trHeight w:val="690" w:hRule="atLeast"/>
        </w:trPr>
        <w:tc>
          <w:tcPr>
            <w:tcW w:w="54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hint="eastAsia" w:ascii="宋体" w:hAnsi="宋体" w:cs="宋体"/>
                <w:kern w:val="0"/>
                <w:sz w:val="18"/>
                <w:szCs w:val="18"/>
              </w:rPr>
            </w:pPr>
            <w:r>
              <w:rPr>
                <w:rFonts w:hint="eastAsia" w:ascii="宋体" w:hAnsi="宋体" w:cs="宋体"/>
                <w:kern w:val="0"/>
                <w:sz w:val="18"/>
                <w:szCs w:val="18"/>
              </w:rPr>
              <w:t>5</w:t>
            </w:r>
          </w:p>
        </w:tc>
        <w:tc>
          <w:tcPr>
            <w:tcW w:w="188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第9周星期五第3节</w:t>
            </w:r>
          </w:p>
        </w:tc>
        <w:tc>
          <w:tcPr>
            <w:tcW w:w="141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sz w:val="18"/>
                <w:szCs w:val="18"/>
              </w:rPr>
              <w:t>18级（16）班</w:t>
            </w:r>
          </w:p>
        </w:tc>
        <w:tc>
          <w:tcPr>
            <w:tcW w:w="240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sz w:val="18"/>
                <w:szCs w:val="18"/>
              </w:rPr>
              <w:t>《青瓜单拼》</w:t>
            </w:r>
          </w:p>
        </w:tc>
        <w:tc>
          <w:tcPr>
            <w:tcW w:w="113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sz w:val="18"/>
                <w:szCs w:val="18"/>
              </w:rPr>
              <w:t>吴长喜</w:t>
            </w:r>
          </w:p>
        </w:tc>
        <w:tc>
          <w:tcPr>
            <w:tcW w:w="1560" w:type="dxa"/>
            <w:tcBorders>
              <w:top w:val="nil"/>
              <w:left w:val="nil"/>
              <w:bottom w:val="single" w:color="auto" w:sz="4" w:space="0"/>
              <w:right w:val="single" w:color="auto" w:sz="4" w:space="0"/>
            </w:tcBorders>
            <w:vAlign w:val="center"/>
          </w:tcPr>
          <w:p>
            <w:pPr>
              <w:adjustRightInd w:val="0"/>
              <w:snapToGrid w:val="0"/>
              <w:ind w:firstLine="0" w:firstLineChars="0"/>
              <w:jc w:val="center"/>
              <w:rPr>
                <w:rFonts w:ascii="宋体" w:hAnsi="宋体"/>
                <w:sz w:val="18"/>
                <w:szCs w:val="18"/>
              </w:rPr>
            </w:pPr>
            <w:r>
              <w:rPr>
                <w:rFonts w:hint="eastAsia" w:ascii="宋体" w:hAnsi="宋体"/>
                <w:sz w:val="18"/>
                <w:szCs w:val="18"/>
              </w:rPr>
              <w:t>教务科、财贸部</w:t>
            </w:r>
          </w:p>
        </w:tc>
      </w:tr>
      <w:tr>
        <w:tblPrEx>
          <w:tblCellMar>
            <w:top w:w="0" w:type="dxa"/>
            <w:left w:w="108" w:type="dxa"/>
            <w:bottom w:w="0" w:type="dxa"/>
            <w:right w:w="108" w:type="dxa"/>
          </w:tblCellMar>
        </w:tblPrEx>
        <w:trPr>
          <w:trHeight w:val="690" w:hRule="atLeast"/>
        </w:trPr>
        <w:tc>
          <w:tcPr>
            <w:tcW w:w="54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hint="eastAsia" w:ascii="宋体" w:hAnsi="宋体" w:cs="宋体"/>
                <w:kern w:val="0"/>
                <w:sz w:val="18"/>
                <w:szCs w:val="18"/>
              </w:rPr>
            </w:pPr>
            <w:r>
              <w:rPr>
                <w:rFonts w:hint="eastAsia" w:ascii="宋体" w:hAnsi="宋体" w:cs="宋体"/>
                <w:kern w:val="0"/>
                <w:sz w:val="18"/>
                <w:szCs w:val="18"/>
              </w:rPr>
              <w:t>6</w:t>
            </w:r>
          </w:p>
        </w:tc>
        <w:tc>
          <w:tcPr>
            <w:tcW w:w="188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第9周星期五第5节</w:t>
            </w:r>
          </w:p>
        </w:tc>
        <w:tc>
          <w:tcPr>
            <w:tcW w:w="141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sz w:val="18"/>
                <w:szCs w:val="18"/>
              </w:rPr>
              <w:t>18级（4）班</w:t>
            </w:r>
          </w:p>
        </w:tc>
        <w:tc>
          <w:tcPr>
            <w:tcW w:w="240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sz w:val="18"/>
                <w:szCs w:val="18"/>
              </w:rPr>
              <w:t>《再别康桥》</w:t>
            </w:r>
          </w:p>
        </w:tc>
        <w:tc>
          <w:tcPr>
            <w:tcW w:w="113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sz w:val="18"/>
                <w:szCs w:val="18"/>
              </w:rPr>
              <w:t>吴婷</w:t>
            </w:r>
          </w:p>
        </w:tc>
        <w:tc>
          <w:tcPr>
            <w:tcW w:w="1560" w:type="dxa"/>
            <w:tcBorders>
              <w:top w:val="nil"/>
              <w:left w:val="nil"/>
              <w:bottom w:val="single" w:color="auto" w:sz="4" w:space="0"/>
              <w:right w:val="single" w:color="auto" w:sz="4" w:space="0"/>
            </w:tcBorders>
            <w:vAlign w:val="center"/>
          </w:tcPr>
          <w:p>
            <w:pPr>
              <w:adjustRightInd w:val="0"/>
              <w:snapToGrid w:val="0"/>
              <w:ind w:firstLine="0" w:firstLineChars="0"/>
              <w:jc w:val="center"/>
              <w:rPr>
                <w:rFonts w:ascii="宋体" w:hAnsi="宋体"/>
                <w:sz w:val="18"/>
                <w:szCs w:val="18"/>
              </w:rPr>
            </w:pPr>
            <w:r>
              <w:rPr>
                <w:rFonts w:hint="eastAsia" w:ascii="宋体" w:hAnsi="宋体"/>
                <w:sz w:val="18"/>
                <w:szCs w:val="18"/>
              </w:rPr>
              <w:t>教务科、计机部</w:t>
            </w:r>
          </w:p>
        </w:tc>
      </w:tr>
      <w:tr>
        <w:tblPrEx>
          <w:tblCellMar>
            <w:top w:w="0" w:type="dxa"/>
            <w:left w:w="108" w:type="dxa"/>
            <w:bottom w:w="0" w:type="dxa"/>
            <w:right w:w="108" w:type="dxa"/>
          </w:tblCellMar>
        </w:tblPrEx>
        <w:trPr>
          <w:trHeight w:val="690" w:hRule="atLeast"/>
        </w:trPr>
        <w:tc>
          <w:tcPr>
            <w:tcW w:w="54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hint="eastAsia" w:ascii="宋体" w:hAnsi="宋体" w:cs="宋体"/>
                <w:kern w:val="0"/>
                <w:sz w:val="18"/>
                <w:szCs w:val="18"/>
              </w:rPr>
            </w:pPr>
            <w:r>
              <w:rPr>
                <w:rFonts w:hint="eastAsia" w:ascii="宋体" w:hAnsi="宋体" w:cs="宋体"/>
                <w:kern w:val="0"/>
                <w:sz w:val="18"/>
                <w:szCs w:val="18"/>
              </w:rPr>
              <w:t>7</w:t>
            </w:r>
          </w:p>
        </w:tc>
        <w:tc>
          <w:tcPr>
            <w:tcW w:w="188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第10周星期一第5节</w:t>
            </w:r>
          </w:p>
        </w:tc>
        <w:tc>
          <w:tcPr>
            <w:tcW w:w="141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sz w:val="18"/>
                <w:szCs w:val="18"/>
              </w:rPr>
              <w:t>18级（3）班</w:t>
            </w:r>
          </w:p>
        </w:tc>
        <w:tc>
          <w:tcPr>
            <w:tcW w:w="240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sz w:val="18"/>
                <w:szCs w:val="18"/>
              </w:rPr>
              <w:t>《田径》</w:t>
            </w:r>
          </w:p>
        </w:tc>
        <w:tc>
          <w:tcPr>
            <w:tcW w:w="113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sz w:val="18"/>
                <w:szCs w:val="18"/>
              </w:rPr>
              <w:t>蔡灼盛</w:t>
            </w:r>
          </w:p>
        </w:tc>
        <w:tc>
          <w:tcPr>
            <w:tcW w:w="1560" w:type="dxa"/>
            <w:tcBorders>
              <w:top w:val="nil"/>
              <w:left w:val="nil"/>
              <w:bottom w:val="single" w:color="auto" w:sz="4" w:space="0"/>
              <w:right w:val="single" w:color="auto" w:sz="4" w:space="0"/>
            </w:tcBorders>
            <w:vAlign w:val="center"/>
          </w:tcPr>
          <w:p>
            <w:pPr>
              <w:adjustRightInd w:val="0"/>
              <w:snapToGrid w:val="0"/>
              <w:ind w:firstLine="0" w:firstLineChars="0"/>
              <w:jc w:val="center"/>
              <w:rPr>
                <w:rFonts w:ascii="宋体" w:hAnsi="宋体"/>
                <w:sz w:val="18"/>
                <w:szCs w:val="18"/>
              </w:rPr>
            </w:pPr>
            <w:r>
              <w:rPr>
                <w:rFonts w:hint="eastAsia" w:ascii="宋体" w:hAnsi="宋体"/>
                <w:sz w:val="18"/>
                <w:szCs w:val="18"/>
              </w:rPr>
              <w:t>教务科、计机部</w:t>
            </w:r>
          </w:p>
        </w:tc>
      </w:tr>
      <w:tr>
        <w:tblPrEx>
          <w:tblCellMar>
            <w:top w:w="0" w:type="dxa"/>
            <w:left w:w="108" w:type="dxa"/>
            <w:bottom w:w="0" w:type="dxa"/>
            <w:right w:w="108" w:type="dxa"/>
          </w:tblCellMar>
        </w:tblPrEx>
        <w:trPr>
          <w:trHeight w:val="690" w:hRule="atLeast"/>
        </w:trPr>
        <w:tc>
          <w:tcPr>
            <w:tcW w:w="54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hint="eastAsia" w:ascii="宋体" w:hAnsi="宋体" w:cs="宋体"/>
                <w:kern w:val="0"/>
                <w:sz w:val="18"/>
                <w:szCs w:val="18"/>
              </w:rPr>
            </w:pPr>
            <w:r>
              <w:rPr>
                <w:rFonts w:hint="eastAsia" w:ascii="宋体" w:hAnsi="宋体" w:cs="宋体"/>
                <w:kern w:val="0"/>
                <w:sz w:val="18"/>
                <w:szCs w:val="18"/>
              </w:rPr>
              <w:t>8</w:t>
            </w:r>
          </w:p>
        </w:tc>
        <w:tc>
          <w:tcPr>
            <w:tcW w:w="188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第12周星期四第6节</w:t>
            </w:r>
          </w:p>
        </w:tc>
        <w:tc>
          <w:tcPr>
            <w:tcW w:w="141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sz w:val="18"/>
                <w:szCs w:val="18"/>
              </w:rPr>
              <w:t>18级（18）</w:t>
            </w:r>
          </w:p>
        </w:tc>
        <w:tc>
          <w:tcPr>
            <w:tcW w:w="240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sz w:val="18"/>
                <w:szCs w:val="18"/>
              </w:rPr>
              <w:t>《畜兽类原料》</w:t>
            </w:r>
          </w:p>
        </w:tc>
        <w:tc>
          <w:tcPr>
            <w:tcW w:w="113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sz w:val="18"/>
                <w:szCs w:val="18"/>
              </w:rPr>
              <w:t>郑文焕</w:t>
            </w:r>
          </w:p>
        </w:tc>
        <w:tc>
          <w:tcPr>
            <w:tcW w:w="1560" w:type="dxa"/>
            <w:tcBorders>
              <w:top w:val="nil"/>
              <w:left w:val="nil"/>
              <w:bottom w:val="single" w:color="auto" w:sz="4" w:space="0"/>
              <w:right w:val="single" w:color="auto" w:sz="4" w:space="0"/>
            </w:tcBorders>
            <w:vAlign w:val="center"/>
          </w:tcPr>
          <w:p>
            <w:pPr>
              <w:adjustRightInd w:val="0"/>
              <w:snapToGrid w:val="0"/>
              <w:spacing w:line="60" w:lineRule="atLeast"/>
              <w:ind w:firstLine="0" w:firstLineChars="0"/>
              <w:jc w:val="center"/>
              <w:rPr>
                <w:sz w:val="18"/>
                <w:szCs w:val="18"/>
              </w:rPr>
            </w:pPr>
            <w:r>
              <w:rPr>
                <w:rFonts w:hint="eastAsia"/>
                <w:sz w:val="18"/>
                <w:szCs w:val="18"/>
              </w:rPr>
              <w:t>教务科、财贸部</w:t>
            </w:r>
          </w:p>
        </w:tc>
      </w:tr>
      <w:tr>
        <w:tblPrEx>
          <w:tblCellMar>
            <w:top w:w="0" w:type="dxa"/>
            <w:left w:w="108" w:type="dxa"/>
            <w:bottom w:w="0" w:type="dxa"/>
            <w:right w:w="108" w:type="dxa"/>
          </w:tblCellMar>
        </w:tblPrEx>
        <w:trPr>
          <w:trHeight w:val="690" w:hRule="atLeast"/>
        </w:trPr>
        <w:tc>
          <w:tcPr>
            <w:tcW w:w="54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hint="eastAsia" w:ascii="宋体" w:hAnsi="宋体" w:cs="宋体"/>
                <w:kern w:val="0"/>
                <w:sz w:val="18"/>
                <w:szCs w:val="18"/>
              </w:rPr>
            </w:pPr>
            <w:r>
              <w:rPr>
                <w:rFonts w:hint="eastAsia" w:ascii="宋体" w:hAnsi="宋体" w:cs="宋体"/>
                <w:kern w:val="0"/>
                <w:sz w:val="18"/>
                <w:szCs w:val="18"/>
              </w:rPr>
              <w:t>9</w:t>
            </w:r>
          </w:p>
        </w:tc>
        <w:tc>
          <w:tcPr>
            <w:tcW w:w="188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第14周星期五第3节</w:t>
            </w:r>
          </w:p>
        </w:tc>
        <w:tc>
          <w:tcPr>
            <w:tcW w:w="141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sz w:val="18"/>
                <w:szCs w:val="18"/>
              </w:rPr>
              <w:t>18级（23）班</w:t>
            </w:r>
          </w:p>
        </w:tc>
        <w:tc>
          <w:tcPr>
            <w:tcW w:w="240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sz w:val="18"/>
                <w:szCs w:val="18"/>
              </w:rPr>
              <w:t>《工具材料与表现技法》</w:t>
            </w:r>
          </w:p>
        </w:tc>
        <w:tc>
          <w:tcPr>
            <w:tcW w:w="113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sz w:val="18"/>
                <w:szCs w:val="18"/>
              </w:rPr>
              <w:t>林丹琪</w:t>
            </w:r>
          </w:p>
        </w:tc>
        <w:tc>
          <w:tcPr>
            <w:tcW w:w="1560" w:type="dxa"/>
            <w:tcBorders>
              <w:top w:val="nil"/>
              <w:left w:val="nil"/>
              <w:bottom w:val="single" w:color="auto" w:sz="4" w:space="0"/>
              <w:right w:val="single" w:color="auto" w:sz="4" w:space="0"/>
            </w:tcBorders>
            <w:vAlign w:val="center"/>
          </w:tcPr>
          <w:p>
            <w:pPr>
              <w:adjustRightInd w:val="0"/>
              <w:snapToGrid w:val="0"/>
              <w:ind w:firstLine="0" w:firstLineChars="0"/>
              <w:jc w:val="center"/>
              <w:rPr>
                <w:sz w:val="18"/>
                <w:szCs w:val="18"/>
              </w:rPr>
            </w:pPr>
            <w:r>
              <w:rPr>
                <w:rFonts w:hint="eastAsia"/>
                <w:sz w:val="18"/>
                <w:szCs w:val="18"/>
              </w:rPr>
              <w:t>教务科、文艺部</w:t>
            </w:r>
          </w:p>
        </w:tc>
      </w:tr>
      <w:tr>
        <w:tblPrEx>
          <w:tblCellMar>
            <w:top w:w="0" w:type="dxa"/>
            <w:left w:w="108" w:type="dxa"/>
            <w:bottom w:w="0" w:type="dxa"/>
            <w:right w:w="108" w:type="dxa"/>
          </w:tblCellMar>
        </w:tblPrEx>
        <w:trPr>
          <w:trHeight w:val="690" w:hRule="atLeast"/>
        </w:trPr>
        <w:tc>
          <w:tcPr>
            <w:tcW w:w="54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hint="eastAsia" w:ascii="宋体" w:hAnsi="宋体" w:cs="宋体"/>
                <w:kern w:val="0"/>
                <w:sz w:val="18"/>
                <w:szCs w:val="18"/>
              </w:rPr>
            </w:pPr>
            <w:r>
              <w:rPr>
                <w:rFonts w:hint="eastAsia" w:ascii="宋体" w:hAnsi="宋体" w:cs="宋体"/>
                <w:kern w:val="0"/>
                <w:sz w:val="18"/>
                <w:szCs w:val="18"/>
              </w:rPr>
              <w:t>10</w:t>
            </w:r>
          </w:p>
        </w:tc>
        <w:tc>
          <w:tcPr>
            <w:tcW w:w="1885" w:type="dxa"/>
            <w:tcBorders>
              <w:top w:val="nil"/>
              <w:left w:val="nil"/>
              <w:bottom w:val="single" w:color="auto" w:sz="4" w:space="0"/>
              <w:right w:val="single" w:color="auto" w:sz="4" w:space="0"/>
            </w:tcBorders>
            <w:vAlign w:val="center"/>
          </w:tcPr>
          <w:p>
            <w:pPr>
              <w:widowControl/>
              <w:ind w:firstLine="0" w:firstLineChars="0"/>
              <w:jc w:val="center"/>
              <w:rPr>
                <w:rFonts w:hint="eastAsia" w:ascii="宋体" w:hAnsi="宋体" w:cs="宋体"/>
                <w:kern w:val="0"/>
                <w:sz w:val="18"/>
                <w:szCs w:val="18"/>
              </w:rPr>
            </w:pPr>
            <w:r>
              <w:rPr>
                <w:rFonts w:hint="eastAsia" w:ascii="宋体" w:hAnsi="宋体" w:cs="宋体"/>
                <w:kern w:val="0"/>
                <w:sz w:val="18"/>
                <w:szCs w:val="18"/>
              </w:rPr>
              <w:t>第19周星期三第2节</w:t>
            </w:r>
          </w:p>
        </w:tc>
        <w:tc>
          <w:tcPr>
            <w:tcW w:w="141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sz w:val="18"/>
                <w:szCs w:val="18"/>
              </w:rPr>
              <w:t>18（2）班</w:t>
            </w:r>
          </w:p>
        </w:tc>
        <w:tc>
          <w:tcPr>
            <w:tcW w:w="240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sz w:val="18"/>
                <w:szCs w:val="18"/>
              </w:rPr>
              <w:t>期末素描静物总结、点评</w:t>
            </w:r>
          </w:p>
        </w:tc>
        <w:tc>
          <w:tcPr>
            <w:tcW w:w="113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sz w:val="18"/>
                <w:szCs w:val="18"/>
              </w:rPr>
              <w:t>林少娟</w:t>
            </w:r>
          </w:p>
        </w:tc>
        <w:tc>
          <w:tcPr>
            <w:tcW w:w="1560"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教务科、计机部</w:t>
            </w:r>
          </w:p>
        </w:tc>
      </w:tr>
      <w:tr>
        <w:tblPrEx>
          <w:tblCellMar>
            <w:top w:w="0" w:type="dxa"/>
            <w:left w:w="108" w:type="dxa"/>
            <w:bottom w:w="0" w:type="dxa"/>
            <w:right w:w="108" w:type="dxa"/>
          </w:tblCellMar>
        </w:tblPrEx>
        <w:trPr>
          <w:trHeight w:val="690" w:hRule="atLeast"/>
        </w:trPr>
        <w:tc>
          <w:tcPr>
            <w:tcW w:w="540" w:type="dxa"/>
            <w:tcBorders>
              <w:top w:val="nil"/>
              <w:left w:val="single" w:color="auto" w:sz="4" w:space="0"/>
              <w:bottom w:val="single" w:color="auto" w:sz="4" w:space="0"/>
              <w:right w:val="single" w:color="auto" w:sz="4" w:space="0"/>
            </w:tcBorders>
            <w:vAlign w:val="center"/>
          </w:tcPr>
          <w:p>
            <w:pPr>
              <w:widowControl/>
              <w:ind w:firstLine="360"/>
              <w:jc w:val="center"/>
              <w:rPr>
                <w:rFonts w:hint="eastAsia" w:ascii="宋体" w:hAnsi="宋体" w:cs="宋体"/>
                <w:kern w:val="0"/>
                <w:sz w:val="18"/>
                <w:szCs w:val="18"/>
              </w:rPr>
            </w:pPr>
            <w:r>
              <w:rPr>
                <w:rFonts w:hint="eastAsia" w:ascii="宋体" w:hAnsi="宋体" w:cs="宋体"/>
                <w:kern w:val="0"/>
                <w:sz w:val="18"/>
                <w:szCs w:val="18"/>
              </w:rPr>
              <w:t>111</w:t>
            </w:r>
          </w:p>
        </w:tc>
        <w:tc>
          <w:tcPr>
            <w:tcW w:w="1885" w:type="dxa"/>
            <w:tcBorders>
              <w:top w:val="nil"/>
              <w:left w:val="nil"/>
              <w:bottom w:val="single" w:color="auto" w:sz="4" w:space="0"/>
              <w:right w:val="single" w:color="auto" w:sz="4" w:space="0"/>
            </w:tcBorders>
            <w:vAlign w:val="center"/>
          </w:tcPr>
          <w:p>
            <w:pPr>
              <w:widowControl/>
              <w:ind w:firstLine="0" w:firstLineChars="0"/>
              <w:jc w:val="center"/>
              <w:rPr>
                <w:rFonts w:hint="eastAsia" w:ascii="宋体" w:hAnsi="宋体" w:cs="宋体"/>
                <w:kern w:val="0"/>
                <w:sz w:val="18"/>
                <w:szCs w:val="18"/>
              </w:rPr>
            </w:pPr>
            <w:r>
              <w:rPr>
                <w:rFonts w:hint="eastAsia" w:ascii="宋体" w:hAnsi="宋体" w:cs="宋体"/>
                <w:kern w:val="0"/>
                <w:sz w:val="18"/>
                <w:szCs w:val="18"/>
              </w:rPr>
              <w:t>第19周星期三第3节</w:t>
            </w:r>
          </w:p>
        </w:tc>
        <w:tc>
          <w:tcPr>
            <w:tcW w:w="141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sz w:val="18"/>
                <w:szCs w:val="18"/>
              </w:rPr>
              <w:t>18（20）班</w:t>
            </w:r>
          </w:p>
        </w:tc>
        <w:tc>
          <w:tcPr>
            <w:tcW w:w="240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sz w:val="18"/>
                <w:szCs w:val="18"/>
              </w:rPr>
              <w:t>大海·故乡</w:t>
            </w:r>
          </w:p>
        </w:tc>
        <w:tc>
          <w:tcPr>
            <w:tcW w:w="113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sz w:val="18"/>
                <w:szCs w:val="18"/>
              </w:rPr>
              <w:t>林耿珊</w:t>
            </w:r>
          </w:p>
        </w:tc>
        <w:tc>
          <w:tcPr>
            <w:tcW w:w="1560"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教务科、文艺部</w:t>
            </w:r>
          </w:p>
        </w:tc>
      </w:tr>
      <w:tr>
        <w:tblPrEx>
          <w:tblCellMar>
            <w:top w:w="0" w:type="dxa"/>
            <w:left w:w="108" w:type="dxa"/>
            <w:bottom w:w="0" w:type="dxa"/>
            <w:right w:w="108" w:type="dxa"/>
          </w:tblCellMar>
        </w:tblPrEx>
        <w:trPr>
          <w:trHeight w:val="690" w:hRule="atLeast"/>
        </w:trPr>
        <w:tc>
          <w:tcPr>
            <w:tcW w:w="540" w:type="dxa"/>
            <w:tcBorders>
              <w:top w:val="nil"/>
              <w:left w:val="single" w:color="auto" w:sz="4" w:space="0"/>
              <w:bottom w:val="single" w:color="auto" w:sz="4" w:space="0"/>
              <w:right w:val="single" w:color="auto" w:sz="4" w:space="0"/>
            </w:tcBorders>
            <w:vAlign w:val="center"/>
          </w:tcPr>
          <w:p>
            <w:pPr>
              <w:widowControl/>
              <w:ind w:firstLine="360"/>
              <w:jc w:val="center"/>
              <w:rPr>
                <w:rFonts w:hint="eastAsia" w:ascii="宋体" w:hAnsi="宋体" w:cs="宋体"/>
                <w:kern w:val="0"/>
                <w:sz w:val="18"/>
                <w:szCs w:val="18"/>
              </w:rPr>
            </w:pPr>
            <w:r>
              <w:rPr>
                <w:rFonts w:hint="eastAsia" w:ascii="宋体" w:hAnsi="宋体" w:cs="宋体"/>
                <w:kern w:val="0"/>
                <w:sz w:val="18"/>
                <w:szCs w:val="18"/>
              </w:rPr>
              <w:t>112</w:t>
            </w:r>
          </w:p>
        </w:tc>
        <w:tc>
          <w:tcPr>
            <w:tcW w:w="1885" w:type="dxa"/>
            <w:tcBorders>
              <w:top w:val="nil"/>
              <w:left w:val="nil"/>
              <w:bottom w:val="single" w:color="auto" w:sz="4" w:space="0"/>
              <w:right w:val="single" w:color="auto" w:sz="4" w:space="0"/>
            </w:tcBorders>
            <w:vAlign w:val="center"/>
          </w:tcPr>
          <w:p>
            <w:pPr>
              <w:widowControl/>
              <w:ind w:firstLine="0" w:firstLineChars="0"/>
              <w:jc w:val="center"/>
              <w:rPr>
                <w:rFonts w:hint="eastAsia" w:ascii="宋体" w:hAnsi="宋体" w:cs="宋体"/>
                <w:kern w:val="0"/>
                <w:sz w:val="18"/>
                <w:szCs w:val="18"/>
              </w:rPr>
            </w:pPr>
            <w:r>
              <w:rPr>
                <w:rFonts w:hint="eastAsia" w:ascii="宋体" w:hAnsi="宋体" w:cs="宋体"/>
                <w:kern w:val="0"/>
                <w:sz w:val="18"/>
                <w:szCs w:val="18"/>
              </w:rPr>
              <w:t>第19周星期三第3节</w:t>
            </w:r>
          </w:p>
        </w:tc>
        <w:tc>
          <w:tcPr>
            <w:tcW w:w="141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sz w:val="18"/>
                <w:szCs w:val="18"/>
              </w:rPr>
              <w:t>18（3）班</w:t>
            </w:r>
          </w:p>
        </w:tc>
        <w:tc>
          <w:tcPr>
            <w:tcW w:w="240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sz w:val="18"/>
                <w:szCs w:val="18"/>
              </w:rPr>
              <w:t>二维动画短片设计与制作</w:t>
            </w:r>
          </w:p>
        </w:tc>
        <w:tc>
          <w:tcPr>
            <w:tcW w:w="113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sz w:val="18"/>
                <w:szCs w:val="18"/>
              </w:rPr>
              <w:t>周婉</w:t>
            </w:r>
          </w:p>
        </w:tc>
        <w:tc>
          <w:tcPr>
            <w:tcW w:w="1560" w:type="dxa"/>
            <w:tcBorders>
              <w:top w:val="nil"/>
              <w:left w:val="nil"/>
              <w:bottom w:val="single" w:color="auto" w:sz="4" w:space="0"/>
              <w:right w:val="single" w:color="auto" w:sz="4" w:space="0"/>
            </w:tcBorders>
            <w:vAlign w:val="center"/>
          </w:tcPr>
          <w:p>
            <w:pPr>
              <w:ind w:firstLine="0" w:firstLineChars="0"/>
              <w:jc w:val="center"/>
              <w:rPr>
                <w:rFonts w:hint="eastAsia"/>
                <w:sz w:val="18"/>
                <w:szCs w:val="18"/>
              </w:rPr>
            </w:pPr>
            <w:r>
              <w:rPr>
                <w:rFonts w:hint="eastAsia"/>
                <w:sz w:val="18"/>
                <w:szCs w:val="18"/>
              </w:rPr>
              <w:t>教务科、计机部</w:t>
            </w:r>
          </w:p>
        </w:tc>
      </w:tr>
    </w:tbl>
    <w:p>
      <w:pPr>
        <w:spacing w:line="480" w:lineRule="exact"/>
        <w:ind w:firstLine="480"/>
        <w:rPr>
          <w:color w:val="C0504D"/>
        </w:rPr>
      </w:pPr>
    </w:p>
    <w:p>
      <w:pPr>
        <w:adjustRightInd w:val="0"/>
        <w:snapToGrid w:val="0"/>
        <w:spacing w:before="120" w:beforeLines="50" w:after="120" w:afterLines="50"/>
        <w:ind w:firstLine="480"/>
        <w:rPr>
          <w:rFonts w:ascii="宋体" w:hAnsi="宋体"/>
        </w:rPr>
      </w:pPr>
      <w:r>
        <w:rPr>
          <w:rFonts w:hint="eastAsia"/>
        </w:rPr>
        <w:t>学校</w:t>
      </w:r>
      <w:r>
        <w:rPr>
          <w:rFonts w:hint="eastAsia" w:ascii="宋体" w:hAnsi="宋体"/>
        </w:rPr>
        <w:t>加强师资队伍建设，提高教师队伍的业务素质加强各类培训，提高教师的专业技能和文化素养。推荐骨干教师参加省、国家级各类培训，多形式、广渠道、大强度推进教师培训，全面提高教师的专业技能和文化素养。</w:t>
      </w:r>
    </w:p>
    <w:tbl>
      <w:tblPr>
        <w:tblStyle w:val="14"/>
        <w:tblW w:w="9498" w:type="dxa"/>
        <w:tblInd w:w="-459" w:type="dxa"/>
        <w:tblLayout w:type="fixed"/>
        <w:tblCellMar>
          <w:top w:w="0" w:type="dxa"/>
          <w:left w:w="108" w:type="dxa"/>
          <w:bottom w:w="0" w:type="dxa"/>
          <w:right w:w="108" w:type="dxa"/>
        </w:tblCellMar>
      </w:tblPr>
      <w:tblGrid>
        <w:gridCol w:w="567"/>
        <w:gridCol w:w="142"/>
        <w:gridCol w:w="1418"/>
        <w:gridCol w:w="425"/>
        <w:gridCol w:w="425"/>
        <w:gridCol w:w="567"/>
        <w:gridCol w:w="709"/>
        <w:gridCol w:w="567"/>
        <w:gridCol w:w="142"/>
        <w:gridCol w:w="567"/>
        <w:gridCol w:w="83"/>
        <w:gridCol w:w="625"/>
        <w:gridCol w:w="709"/>
        <w:gridCol w:w="992"/>
        <w:gridCol w:w="142"/>
        <w:gridCol w:w="567"/>
        <w:gridCol w:w="142"/>
        <w:gridCol w:w="252"/>
        <w:gridCol w:w="457"/>
      </w:tblGrid>
      <w:tr>
        <w:tblPrEx>
          <w:tblCellMar>
            <w:top w:w="0" w:type="dxa"/>
            <w:left w:w="108" w:type="dxa"/>
            <w:bottom w:w="0" w:type="dxa"/>
            <w:right w:w="108" w:type="dxa"/>
          </w:tblCellMar>
        </w:tblPrEx>
        <w:trPr>
          <w:gridAfter w:val="1"/>
          <w:wAfter w:w="457" w:type="dxa"/>
          <w:trHeight w:val="480" w:hRule="atLeast"/>
        </w:trPr>
        <w:tc>
          <w:tcPr>
            <w:tcW w:w="9041" w:type="dxa"/>
            <w:gridSpan w:val="18"/>
            <w:tcBorders>
              <w:top w:val="nil"/>
              <w:left w:val="nil"/>
              <w:bottom w:val="nil"/>
              <w:right w:val="nil"/>
            </w:tcBorders>
            <w:vAlign w:val="center"/>
          </w:tcPr>
          <w:p>
            <w:pPr>
              <w:ind w:firstLine="960" w:firstLineChars="400"/>
              <w:rPr>
                <w:rFonts w:ascii="宋体" w:hAnsi="宋体"/>
              </w:rPr>
            </w:pPr>
            <w:bookmarkStart w:id="135" w:name="_Toc505003807"/>
            <w:r>
              <w:rPr>
                <w:rFonts w:hint="eastAsia" w:ascii="宋体" w:hAnsi="宋体"/>
              </w:rPr>
              <w:t>1.广东省2019年中等职业学校教师素质提高计划项目参训学员情况</w:t>
            </w:r>
          </w:p>
        </w:tc>
      </w:tr>
      <w:tr>
        <w:tblPrEx>
          <w:tblCellMar>
            <w:top w:w="0" w:type="dxa"/>
            <w:left w:w="108" w:type="dxa"/>
            <w:bottom w:w="0" w:type="dxa"/>
            <w:right w:w="108" w:type="dxa"/>
          </w:tblCellMar>
        </w:tblPrEx>
        <w:trPr>
          <w:trHeight w:val="759" w:hRule="atLeast"/>
        </w:trPr>
        <w:tc>
          <w:tcPr>
            <w:tcW w:w="70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sz w:val="18"/>
                <w:szCs w:val="18"/>
              </w:rPr>
            </w:pPr>
            <w:r>
              <w:rPr>
                <w:rFonts w:hint="eastAsia"/>
                <w:sz w:val="18"/>
                <w:szCs w:val="18"/>
              </w:rPr>
              <w:t>序号</w:t>
            </w:r>
          </w:p>
        </w:tc>
        <w:tc>
          <w:tcPr>
            <w:tcW w:w="1843" w:type="dxa"/>
            <w:gridSpan w:val="2"/>
            <w:tcBorders>
              <w:top w:val="single" w:color="auto" w:sz="4" w:space="0"/>
              <w:left w:val="nil"/>
              <w:bottom w:val="single" w:color="auto" w:sz="4" w:space="0"/>
              <w:right w:val="single" w:color="auto" w:sz="4" w:space="0"/>
            </w:tcBorders>
            <w:vAlign w:val="center"/>
          </w:tcPr>
          <w:p>
            <w:pPr>
              <w:ind w:firstLine="360"/>
              <w:jc w:val="center"/>
              <w:rPr>
                <w:sz w:val="18"/>
                <w:szCs w:val="18"/>
              </w:rPr>
            </w:pPr>
            <w:r>
              <w:rPr>
                <w:rFonts w:hint="eastAsia"/>
                <w:sz w:val="18"/>
                <w:szCs w:val="18"/>
              </w:rPr>
              <w:t>项目名称</w:t>
            </w:r>
          </w:p>
        </w:tc>
        <w:tc>
          <w:tcPr>
            <w:tcW w:w="992" w:type="dxa"/>
            <w:gridSpan w:val="2"/>
            <w:tcBorders>
              <w:top w:val="single" w:color="auto" w:sz="4" w:space="0"/>
              <w:left w:val="nil"/>
              <w:bottom w:val="single" w:color="auto" w:sz="4" w:space="0"/>
              <w:right w:val="single" w:color="auto" w:sz="4" w:space="0"/>
            </w:tcBorders>
            <w:vAlign w:val="center"/>
          </w:tcPr>
          <w:p>
            <w:pPr>
              <w:ind w:firstLine="360"/>
              <w:rPr>
                <w:sz w:val="18"/>
                <w:szCs w:val="18"/>
              </w:rPr>
            </w:pPr>
            <w:r>
              <w:rPr>
                <w:rFonts w:hint="eastAsia"/>
                <w:sz w:val="18"/>
                <w:szCs w:val="18"/>
              </w:rPr>
              <w:t>姓名</w:t>
            </w:r>
          </w:p>
        </w:tc>
        <w:tc>
          <w:tcPr>
            <w:tcW w:w="1276" w:type="dxa"/>
            <w:gridSpan w:val="2"/>
            <w:tcBorders>
              <w:top w:val="single" w:color="auto" w:sz="4" w:space="0"/>
              <w:left w:val="nil"/>
              <w:bottom w:val="single" w:color="auto" w:sz="4" w:space="0"/>
              <w:right w:val="single" w:color="auto" w:sz="4" w:space="0"/>
            </w:tcBorders>
            <w:vAlign w:val="center"/>
          </w:tcPr>
          <w:p>
            <w:pPr>
              <w:ind w:firstLine="0" w:firstLineChars="0"/>
              <w:rPr>
                <w:sz w:val="18"/>
                <w:szCs w:val="18"/>
              </w:rPr>
            </w:pPr>
            <w:r>
              <w:rPr>
                <w:rFonts w:hint="eastAsia"/>
                <w:sz w:val="18"/>
                <w:szCs w:val="18"/>
              </w:rPr>
              <w:t>工作单位</w:t>
            </w:r>
          </w:p>
        </w:tc>
        <w:tc>
          <w:tcPr>
            <w:tcW w:w="709" w:type="dxa"/>
            <w:gridSpan w:val="2"/>
            <w:tcBorders>
              <w:top w:val="single" w:color="auto" w:sz="4" w:space="0"/>
              <w:left w:val="nil"/>
              <w:bottom w:val="single" w:color="auto" w:sz="4" w:space="0"/>
              <w:right w:val="single" w:color="auto" w:sz="4" w:space="0"/>
            </w:tcBorders>
            <w:vAlign w:val="center"/>
          </w:tcPr>
          <w:p>
            <w:pPr>
              <w:ind w:firstLine="0" w:firstLineChars="0"/>
              <w:rPr>
                <w:sz w:val="18"/>
                <w:szCs w:val="18"/>
              </w:rPr>
            </w:pPr>
            <w:r>
              <w:rPr>
                <w:rFonts w:hint="eastAsia"/>
                <w:sz w:val="18"/>
                <w:szCs w:val="18"/>
              </w:rPr>
              <w:t>性别</w:t>
            </w:r>
          </w:p>
        </w:tc>
        <w:tc>
          <w:tcPr>
            <w:tcW w:w="708" w:type="dxa"/>
            <w:gridSpan w:val="2"/>
            <w:tcBorders>
              <w:top w:val="single" w:color="auto" w:sz="4" w:space="0"/>
              <w:left w:val="nil"/>
              <w:bottom w:val="single" w:color="auto" w:sz="4" w:space="0"/>
              <w:right w:val="single" w:color="auto" w:sz="4" w:space="0"/>
            </w:tcBorders>
            <w:vAlign w:val="center"/>
          </w:tcPr>
          <w:p>
            <w:pPr>
              <w:ind w:firstLine="0" w:firstLineChars="0"/>
              <w:rPr>
                <w:sz w:val="18"/>
                <w:szCs w:val="18"/>
              </w:rPr>
            </w:pPr>
            <w:r>
              <w:rPr>
                <w:rFonts w:hint="eastAsia"/>
                <w:sz w:val="18"/>
                <w:szCs w:val="18"/>
              </w:rPr>
              <w:t>年龄</w:t>
            </w:r>
          </w:p>
        </w:tc>
        <w:tc>
          <w:tcPr>
            <w:tcW w:w="709" w:type="dxa"/>
            <w:tcBorders>
              <w:top w:val="single" w:color="auto" w:sz="4" w:space="0"/>
              <w:left w:val="nil"/>
              <w:bottom w:val="single" w:color="auto" w:sz="4" w:space="0"/>
              <w:right w:val="single" w:color="auto" w:sz="4" w:space="0"/>
            </w:tcBorders>
            <w:vAlign w:val="center"/>
          </w:tcPr>
          <w:p>
            <w:pPr>
              <w:ind w:firstLine="0" w:firstLineChars="0"/>
              <w:rPr>
                <w:sz w:val="18"/>
                <w:szCs w:val="18"/>
              </w:rPr>
            </w:pPr>
            <w:r>
              <w:rPr>
                <w:rFonts w:hint="eastAsia"/>
                <w:sz w:val="18"/>
                <w:szCs w:val="18"/>
              </w:rPr>
              <w:t>教龄</w:t>
            </w:r>
          </w:p>
        </w:tc>
        <w:tc>
          <w:tcPr>
            <w:tcW w:w="1134" w:type="dxa"/>
            <w:gridSpan w:val="2"/>
            <w:tcBorders>
              <w:top w:val="single" w:color="auto" w:sz="4" w:space="0"/>
              <w:left w:val="nil"/>
              <w:bottom w:val="single" w:color="auto" w:sz="4" w:space="0"/>
              <w:right w:val="single" w:color="auto" w:sz="4" w:space="0"/>
            </w:tcBorders>
            <w:vAlign w:val="center"/>
          </w:tcPr>
          <w:p>
            <w:pPr>
              <w:ind w:firstLine="360"/>
              <w:rPr>
                <w:sz w:val="18"/>
                <w:szCs w:val="18"/>
              </w:rPr>
            </w:pPr>
            <w:r>
              <w:rPr>
                <w:rFonts w:hint="eastAsia"/>
                <w:sz w:val="18"/>
                <w:szCs w:val="18"/>
              </w:rPr>
              <w:t>专业</w:t>
            </w:r>
          </w:p>
        </w:tc>
        <w:tc>
          <w:tcPr>
            <w:tcW w:w="709" w:type="dxa"/>
            <w:gridSpan w:val="2"/>
            <w:tcBorders>
              <w:top w:val="single" w:color="auto" w:sz="4" w:space="0"/>
              <w:left w:val="nil"/>
              <w:bottom w:val="nil"/>
              <w:right w:val="single" w:color="auto" w:sz="4" w:space="0"/>
            </w:tcBorders>
            <w:vAlign w:val="center"/>
          </w:tcPr>
          <w:p>
            <w:pPr>
              <w:ind w:firstLine="0" w:firstLineChars="0"/>
              <w:rPr>
                <w:sz w:val="18"/>
                <w:szCs w:val="18"/>
              </w:rPr>
            </w:pPr>
            <w:r>
              <w:rPr>
                <w:rFonts w:hint="eastAsia"/>
                <w:sz w:val="18"/>
                <w:szCs w:val="18"/>
              </w:rPr>
              <w:t>学历</w:t>
            </w:r>
          </w:p>
        </w:tc>
        <w:tc>
          <w:tcPr>
            <w:tcW w:w="709" w:type="dxa"/>
            <w:gridSpan w:val="2"/>
            <w:tcBorders>
              <w:top w:val="single" w:color="auto" w:sz="4" w:space="0"/>
              <w:left w:val="nil"/>
              <w:bottom w:val="nil"/>
              <w:right w:val="single" w:color="auto" w:sz="4" w:space="0"/>
            </w:tcBorders>
            <w:vAlign w:val="center"/>
          </w:tcPr>
          <w:p>
            <w:pPr>
              <w:ind w:firstLine="0" w:firstLineChars="0"/>
              <w:rPr>
                <w:sz w:val="18"/>
                <w:szCs w:val="18"/>
              </w:rPr>
            </w:pPr>
            <w:r>
              <w:rPr>
                <w:rFonts w:hint="eastAsia"/>
                <w:sz w:val="18"/>
                <w:szCs w:val="18"/>
              </w:rPr>
              <w:t>职称</w:t>
            </w:r>
          </w:p>
        </w:tc>
      </w:tr>
      <w:tr>
        <w:tblPrEx>
          <w:tblCellMar>
            <w:top w:w="0" w:type="dxa"/>
            <w:left w:w="108" w:type="dxa"/>
            <w:bottom w:w="0" w:type="dxa"/>
            <w:right w:w="108" w:type="dxa"/>
          </w:tblCellMar>
        </w:tblPrEx>
        <w:trPr>
          <w:trHeight w:val="759" w:hRule="atLeast"/>
        </w:trPr>
        <w:tc>
          <w:tcPr>
            <w:tcW w:w="709" w:type="dxa"/>
            <w:gridSpan w:val="2"/>
            <w:tcBorders>
              <w:top w:val="nil"/>
              <w:left w:val="single" w:color="auto" w:sz="4" w:space="0"/>
              <w:bottom w:val="single" w:color="auto" w:sz="4" w:space="0"/>
              <w:right w:val="single" w:color="auto" w:sz="4" w:space="0"/>
            </w:tcBorders>
            <w:vAlign w:val="center"/>
          </w:tcPr>
          <w:p>
            <w:pPr>
              <w:ind w:firstLineChars="111"/>
              <w:rPr>
                <w:sz w:val="18"/>
                <w:szCs w:val="18"/>
              </w:rPr>
            </w:pPr>
            <w:r>
              <w:rPr>
                <w:rFonts w:hint="eastAsia"/>
                <w:sz w:val="18"/>
                <w:szCs w:val="18"/>
              </w:rPr>
              <w:t>1</w:t>
            </w:r>
          </w:p>
        </w:tc>
        <w:tc>
          <w:tcPr>
            <w:tcW w:w="1843" w:type="dxa"/>
            <w:gridSpan w:val="2"/>
            <w:tcBorders>
              <w:top w:val="nil"/>
              <w:left w:val="nil"/>
              <w:bottom w:val="single" w:color="auto" w:sz="4" w:space="0"/>
              <w:right w:val="single" w:color="auto" w:sz="4" w:space="0"/>
            </w:tcBorders>
            <w:vAlign w:val="center"/>
          </w:tcPr>
          <w:p>
            <w:pPr>
              <w:ind w:firstLine="0" w:firstLineChars="0"/>
              <w:jc w:val="center"/>
              <w:rPr>
                <w:rFonts w:ascii="Arial" w:hAnsi="Arial" w:cs="Arial"/>
                <w:sz w:val="18"/>
                <w:szCs w:val="18"/>
              </w:rPr>
            </w:pPr>
            <w:r>
              <w:rPr>
                <w:rFonts w:ascii="Arial" w:hAnsi="Arial" w:cs="Arial"/>
                <w:sz w:val="18"/>
                <w:szCs w:val="18"/>
              </w:rPr>
              <w:t>中职学校骨干校长专项培训项目</w:t>
            </w:r>
          </w:p>
        </w:tc>
        <w:tc>
          <w:tcPr>
            <w:tcW w:w="992"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林丽娜</w:t>
            </w:r>
          </w:p>
        </w:tc>
        <w:tc>
          <w:tcPr>
            <w:tcW w:w="1276"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揭阳捷和职业技术学校</w:t>
            </w:r>
          </w:p>
        </w:tc>
        <w:tc>
          <w:tcPr>
            <w:tcW w:w="709" w:type="dxa"/>
            <w:gridSpan w:val="2"/>
            <w:tcBorders>
              <w:top w:val="nil"/>
              <w:left w:val="nil"/>
              <w:bottom w:val="single" w:color="auto" w:sz="4" w:space="0"/>
              <w:right w:val="single" w:color="auto" w:sz="4" w:space="0"/>
            </w:tcBorders>
            <w:vAlign w:val="center"/>
          </w:tcPr>
          <w:p>
            <w:pPr>
              <w:ind w:firstLineChars="111"/>
              <w:rPr>
                <w:rFonts w:ascii="宋体" w:hAnsi="宋体" w:cs="宋体"/>
                <w:sz w:val="18"/>
                <w:szCs w:val="18"/>
              </w:rPr>
            </w:pPr>
            <w:r>
              <w:rPr>
                <w:rFonts w:hint="eastAsia"/>
                <w:sz w:val="18"/>
                <w:szCs w:val="18"/>
              </w:rPr>
              <w:t>女</w:t>
            </w:r>
          </w:p>
        </w:tc>
        <w:tc>
          <w:tcPr>
            <w:tcW w:w="708" w:type="dxa"/>
            <w:gridSpan w:val="2"/>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48</w:t>
            </w:r>
          </w:p>
        </w:tc>
        <w:tc>
          <w:tcPr>
            <w:tcW w:w="709" w:type="dxa"/>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28</w:t>
            </w:r>
          </w:p>
        </w:tc>
        <w:tc>
          <w:tcPr>
            <w:tcW w:w="1134" w:type="dxa"/>
            <w:gridSpan w:val="2"/>
            <w:tcBorders>
              <w:top w:val="nil"/>
              <w:left w:val="nil"/>
              <w:bottom w:val="single" w:color="auto" w:sz="4" w:space="0"/>
              <w:right w:val="single" w:color="auto" w:sz="4" w:space="0"/>
            </w:tcBorders>
            <w:vAlign w:val="center"/>
          </w:tcPr>
          <w:p>
            <w:pPr>
              <w:ind w:firstLineChars="111"/>
              <w:jc w:val="center"/>
              <w:rPr>
                <w:rFonts w:ascii="宋体" w:hAnsi="宋体" w:cs="宋体"/>
                <w:sz w:val="18"/>
                <w:szCs w:val="18"/>
              </w:rPr>
            </w:pPr>
            <w:r>
              <w:rPr>
                <w:rFonts w:hint="eastAsia"/>
                <w:sz w:val="18"/>
                <w:szCs w:val="18"/>
              </w:rPr>
              <w:t>中文</w:t>
            </w:r>
          </w:p>
        </w:tc>
        <w:tc>
          <w:tcPr>
            <w:tcW w:w="709"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本科</w:t>
            </w:r>
          </w:p>
        </w:tc>
        <w:tc>
          <w:tcPr>
            <w:tcW w:w="709"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中高教师</w:t>
            </w:r>
          </w:p>
        </w:tc>
      </w:tr>
      <w:tr>
        <w:tblPrEx>
          <w:tblCellMar>
            <w:top w:w="0" w:type="dxa"/>
            <w:left w:w="108" w:type="dxa"/>
            <w:bottom w:w="0" w:type="dxa"/>
            <w:right w:w="108" w:type="dxa"/>
          </w:tblCellMar>
        </w:tblPrEx>
        <w:trPr>
          <w:trHeight w:val="759" w:hRule="atLeast"/>
        </w:trPr>
        <w:tc>
          <w:tcPr>
            <w:tcW w:w="709" w:type="dxa"/>
            <w:gridSpan w:val="2"/>
            <w:tcBorders>
              <w:top w:val="nil"/>
              <w:left w:val="single" w:color="auto" w:sz="4" w:space="0"/>
              <w:bottom w:val="single" w:color="auto" w:sz="4" w:space="0"/>
              <w:right w:val="single" w:color="auto" w:sz="4" w:space="0"/>
            </w:tcBorders>
            <w:vAlign w:val="center"/>
          </w:tcPr>
          <w:p>
            <w:pPr>
              <w:ind w:firstLineChars="111"/>
              <w:rPr>
                <w:sz w:val="18"/>
                <w:szCs w:val="18"/>
              </w:rPr>
            </w:pPr>
            <w:r>
              <w:rPr>
                <w:rFonts w:hint="eastAsia"/>
                <w:sz w:val="18"/>
                <w:szCs w:val="18"/>
              </w:rPr>
              <w:t>2</w:t>
            </w:r>
          </w:p>
        </w:tc>
        <w:tc>
          <w:tcPr>
            <w:tcW w:w="1843"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专业带头人领军能力研修</w:t>
            </w:r>
          </w:p>
        </w:tc>
        <w:tc>
          <w:tcPr>
            <w:tcW w:w="992"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庄友梅</w:t>
            </w:r>
          </w:p>
        </w:tc>
        <w:tc>
          <w:tcPr>
            <w:tcW w:w="1276"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揭阳捷和职业技术学校</w:t>
            </w:r>
          </w:p>
        </w:tc>
        <w:tc>
          <w:tcPr>
            <w:tcW w:w="709" w:type="dxa"/>
            <w:gridSpan w:val="2"/>
            <w:tcBorders>
              <w:top w:val="nil"/>
              <w:left w:val="nil"/>
              <w:bottom w:val="single" w:color="auto" w:sz="4" w:space="0"/>
              <w:right w:val="single" w:color="auto" w:sz="4" w:space="0"/>
            </w:tcBorders>
            <w:vAlign w:val="center"/>
          </w:tcPr>
          <w:p>
            <w:pPr>
              <w:ind w:firstLineChars="111"/>
              <w:rPr>
                <w:rFonts w:ascii="宋体" w:hAnsi="宋体" w:cs="宋体"/>
                <w:sz w:val="18"/>
                <w:szCs w:val="18"/>
              </w:rPr>
            </w:pPr>
            <w:r>
              <w:rPr>
                <w:rFonts w:hint="eastAsia"/>
                <w:sz w:val="18"/>
                <w:szCs w:val="18"/>
              </w:rPr>
              <w:t>女</w:t>
            </w:r>
          </w:p>
        </w:tc>
        <w:tc>
          <w:tcPr>
            <w:tcW w:w="708" w:type="dxa"/>
            <w:gridSpan w:val="2"/>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42</w:t>
            </w:r>
          </w:p>
        </w:tc>
        <w:tc>
          <w:tcPr>
            <w:tcW w:w="709" w:type="dxa"/>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22</w:t>
            </w:r>
          </w:p>
        </w:tc>
        <w:tc>
          <w:tcPr>
            <w:tcW w:w="1134"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计算机</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本科</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中一</w:t>
            </w:r>
            <w:r>
              <w:rPr>
                <w:rFonts w:ascii="Calibri" w:hAnsi="Calibri" w:cs="Calibri"/>
                <w:sz w:val="18"/>
                <w:szCs w:val="18"/>
              </w:rPr>
              <w:t xml:space="preserve">     </w:t>
            </w:r>
            <w:r>
              <w:rPr>
                <w:rFonts w:hint="eastAsia"/>
                <w:sz w:val="18"/>
                <w:szCs w:val="18"/>
              </w:rPr>
              <w:t>教师</w:t>
            </w:r>
          </w:p>
        </w:tc>
      </w:tr>
      <w:tr>
        <w:tblPrEx>
          <w:tblCellMar>
            <w:top w:w="0" w:type="dxa"/>
            <w:left w:w="108" w:type="dxa"/>
            <w:bottom w:w="0" w:type="dxa"/>
            <w:right w:w="108" w:type="dxa"/>
          </w:tblCellMar>
        </w:tblPrEx>
        <w:trPr>
          <w:trHeight w:val="759" w:hRule="atLeast"/>
        </w:trPr>
        <w:tc>
          <w:tcPr>
            <w:tcW w:w="709" w:type="dxa"/>
            <w:gridSpan w:val="2"/>
            <w:tcBorders>
              <w:top w:val="nil"/>
              <w:left w:val="single" w:color="auto" w:sz="4" w:space="0"/>
              <w:bottom w:val="single" w:color="auto" w:sz="4" w:space="0"/>
              <w:right w:val="single" w:color="auto" w:sz="4" w:space="0"/>
            </w:tcBorders>
            <w:vAlign w:val="center"/>
          </w:tcPr>
          <w:p>
            <w:pPr>
              <w:ind w:firstLineChars="111"/>
              <w:rPr>
                <w:sz w:val="18"/>
                <w:szCs w:val="18"/>
              </w:rPr>
            </w:pPr>
            <w:r>
              <w:rPr>
                <w:rFonts w:hint="eastAsia"/>
                <w:sz w:val="18"/>
                <w:szCs w:val="18"/>
              </w:rPr>
              <w:t>3</w:t>
            </w:r>
          </w:p>
        </w:tc>
        <w:tc>
          <w:tcPr>
            <w:tcW w:w="1843" w:type="dxa"/>
            <w:gridSpan w:val="2"/>
            <w:tcBorders>
              <w:top w:val="nil"/>
              <w:left w:val="nil"/>
              <w:bottom w:val="single" w:color="auto" w:sz="4" w:space="0"/>
              <w:right w:val="single" w:color="auto" w:sz="4" w:space="0"/>
            </w:tcBorders>
            <w:vAlign w:val="center"/>
          </w:tcPr>
          <w:p>
            <w:pPr>
              <w:ind w:firstLine="0" w:firstLineChars="0"/>
              <w:jc w:val="center"/>
              <w:rPr>
                <w:rFonts w:ascii="Arial" w:hAnsi="Arial" w:cs="Arial"/>
                <w:sz w:val="18"/>
                <w:szCs w:val="18"/>
              </w:rPr>
            </w:pPr>
            <w:r>
              <w:rPr>
                <w:rFonts w:ascii="Arial" w:hAnsi="Arial" w:cs="Arial"/>
                <w:sz w:val="18"/>
                <w:szCs w:val="18"/>
              </w:rPr>
              <w:t>双师型教师专业技能培训</w:t>
            </w:r>
          </w:p>
        </w:tc>
        <w:tc>
          <w:tcPr>
            <w:tcW w:w="992"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佘燕杰</w:t>
            </w:r>
          </w:p>
        </w:tc>
        <w:tc>
          <w:tcPr>
            <w:tcW w:w="1276"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揭阳捷和职业技术学校</w:t>
            </w:r>
          </w:p>
        </w:tc>
        <w:tc>
          <w:tcPr>
            <w:tcW w:w="709" w:type="dxa"/>
            <w:gridSpan w:val="2"/>
            <w:tcBorders>
              <w:top w:val="nil"/>
              <w:left w:val="nil"/>
              <w:bottom w:val="single" w:color="auto" w:sz="4" w:space="0"/>
              <w:right w:val="single" w:color="auto" w:sz="4" w:space="0"/>
            </w:tcBorders>
            <w:vAlign w:val="center"/>
          </w:tcPr>
          <w:p>
            <w:pPr>
              <w:ind w:firstLineChars="111"/>
              <w:rPr>
                <w:rFonts w:ascii="宋体" w:hAnsi="宋体" w:cs="宋体"/>
                <w:sz w:val="18"/>
                <w:szCs w:val="18"/>
              </w:rPr>
            </w:pPr>
            <w:r>
              <w:rPr>
                <w:rFonts w:hint="eastAsia"/>
                <w:sz w:val="18"/>
                <w:szCs w:val="18"/>
              </w:rPr>
              <w:t>男</w:t>
            </w:r>
          </w:p>
        </w:tc>
        <w:tc>
          <w:tcPr>
            <w:tcW w:w="708" w:type="dxa"/>
            <w:gridSpan w:val="2"/>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38</w:t>
            </w:r>
          </w:p>
        </w:tc>
        <w:tc>
          <w:tcPr>
            <w:tcW w:w="709" w:type="dxa"/>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14</w:t>
            </w:r>
          </w:p>
        </w:tc>
        <w:tc>
          <w:tcPr>
            <w:tcW w:w="1134"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电子与信息技术</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本科</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中一</w:t>
            </w:r>
            <w:r>
              <w:rPr>
                <w:rFonts w:ascii="Calibri" w:hAnsi="Calibri" w:cs="Calibri"/>
                <w:sz w:val="18"/>
                <w:szCs w:val="18"/>
              </w:rPr>
              <w:t xml:space="preserve">     </w:t>
            </w:r>
            <w:r>
              <w:rPr>
                <w:rFonts w:hint="eastAsia"/>
                <w:sz w:val="18"/>
                <w:szCs w:val="18"/>
              </w:rPr>
              <w:t>教师</w:t>
            </w:r>
          </w:p>
        </w:tc>
      </w:tr>
      <w:tr>
        <w:trPr>
          <w:trHeight w:val="756" w:hRule="atLeast"/>
        </w:trPr>
        <w:tc>
          <w:tcPr>
            <w:tcW w:w="709" w:type="dxa"/>
            <w:gridSpan w:val="2"/>
            <w:tcBorders>
              <w:top w:val="nil"/>
              <w:left w:val="single" w:color="auto" w:sz="4" w:space="0"/>
              <w:bottom w:val="single" w:color="auto" w:sz="4" w:space="0"/>
              <w:right w:val="single" w:color="auto" w:sz="4" w:space="0"/>
            </w:tcBorders>
            <w:vAlign w:val="center"/>
          </w:tcPr>
          <w:p>
            <w:pPr>
              <w:ind w:firstLineChars="111"/>
              <w:rPr>
                <w:sz w:val="18"/>
                <w:szCs w:val="18"/>
              </w:rPr>
            </w:pPr>
            <w:r>
              <w:rPr>
                <w:rFonts w:hint="eastAsia"/>
                <w:sz w:val="18"/>
                <w:szCs w:val="18"/>
              </w:rPr>
              <w:t>4</w:t>
            </w:r>
          </w:p>
        </w:tc>
        <w:tc>
          <w:tcPr>
            <w:tcW w:w="1843" w:type="dxa"/>
            <w:gridSpan w:val="2"/>
            <w:tcBorders>
              <w:top w:val="nil"/>
              <w:left w:val="nil"/>
              <w:bottom w:val="single" w:color="auto" w:sz="4" w:space="0"/>
              <w:right w:val="single" w:color="auto" w:sz="4" w:space="0"/>
            </w:tcBorders>
            <w:vAlign w:val="center"/>
          </w:tcPr>
          <w:p>
            <w:pPr>
              <w:ind w:firstLine="0" w:firstLineChars="0"/>
              <w:jc w:val="center"/>
              <w:rPr>
                <w:rFonts w:ascii="Arial" w:hAnsi="Arial" w:cs="Arial"/>
                <w:sz w:val="18"/>
                <w:szCs w:val="18"/>
              </w:rPr>
            </w:pPr>
            <w:r>
              <w:rPr>
                <w:rFonts w:ascii="Arial" w:hAnsi="Arial" w:cs="Arial"/>
                <w:sz w:val="18"/>
                <w:szCs w:val="18"/>
              </w:rPr>
              <w:t>双师型教师专业技能培训</w:t>
            </w:r>
          </w:p>
        </w:tc>
        <w:tc>
          <w:tcPr>
            <w:tcW w:w="992"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潘玲燕</w:t>
            </w:r>
          </w:p>
        </w:tc>
        <w:tc>
          <w:tcPr>
            <w:tcW w:w="1276"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揭阳捷和职业技术学校</w:t>
            </w:r>
          </w:p>
        </w:tc>
        <w:tc>
          <w:tcPr>
            <w:tcW w:w="709" w:type="dxa"/>
            <w:gridSpan w:val="2"/>
            <w:tcBorders>
              <w:top w:val="nil"/>
              <w:left w:val="nil"/>
              <w:bottom w:val="single" w:color="auto" w:sz="4" w:space="0"/>
              <w:right w:val="single" w:color="auto" w:sz="4" w:space="0"/>
            </w:tcBorders>
            <w:vAlign w:val="center"/>
          </w:tcPr>
          <w:p>
            <w:pPr>
              <w:ind w:firstLineChars="111"/>
              <w:rPr>
                <w:rFonts w:ascii="宋体" w:hAnsi="宋体" w:cs="宋体"/>
                <w:sz w:val="18"/>
                <w:szCs w:val="18"/>
              </w:rPr>
            </w:pPr>
            <w:r>
              <w:rPr>
                <w:rFonts w:hint="eastAsia"/>
                <w:sz w:val="18"/>
                <w:szCs w:val="18"/>
              </w:rPr>
              <w:t>女</w:t>
            </w:r>
          </w:p>
        </w:tc>
        <w:tc>
          <w:tcPr>
            <w:tcW w:w="708" w:type="dxa"/>
            <w:gridSpan w:val="2"/>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35</w:t>
            </w:r>
          </w:p>
        </w:tc>
        <w:tc>
          <w:tcPr>
            <w:tcW w:w="709" w:type="dxa"/>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11</w:t>
            </w:r>
          </w:p>
        </w:tc>
        <w:tc>
          <w:tcPr>
            <w:tcW w:w="1134"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电子与信息技术</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本科</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中一</w:t>
            </w:r>
            <w:r>
              <w:rPr>
                <w:rFonts w:ascii="Calibri" w:hAnsi="Calibri" w:cs="Calibri"/>
                <w:sz w:val="18"/>
                <w:szCs w:val="18"/>
              </w:rPr>
              <w:t xml:space="preserve">     </w:t>
            </w:r>
            <w:r>
              <w:rPr>
                <w:rFonts w:hint="eastAsia"/>
                <w:sz w:val="18"/>
                <w:szCs w:val="18"/>
              </w:rPr>
              <w:t>教师</w:t>
            </w:r>
          </w:p>
        </w:tc>
      </w:tr>
      <w:tr>
        <w:tblPrEx>
          <w:tblCellMar>
            <w:top w:w="0" w:type="dxa"/>
            <w:left w:w="108" w:type="dxa"/>
            <w:bottom w:w="0" w:type="dxa"/>
            <w:right w:w="108" w:type="dxa"/>
          </w:tblCellMar>
        </w:tblPrEx>
        <w:trPr>
          <w:trHeight w:val="888" w:hRule="atLeast"/>
        </w:trPr>
        <w:tc>
          <w:tcPr>
            <w:tcW w:w="709" w:type="dxa"/>
            <w:gridSpan w:val="2"/>
            <w:tcBorders>
              <w:top w:val="nil"/>
              <w:left w:val="single" w:color="auto" w:sz="4" w:space="0"/>
              <w:bottom w:val="single" w:color="auto" w:sz="4" w:space="0"/>
              <w:right w:val="single" w:color="auto" w:sz="4" w:space="0"/>
            </w:tcBorders>
            <w:vAlign w:val="center"/>
          </w:tcPr>
          <w:p>
            <w:pPr>
              <w:ind w:firstLineChars="111"/>
              <w:rPr>
                <w:sz w:val="18"/>
                <w:szCs w:val="18"/>
              </w:rPr>
            </w:pPr>
            <w:r>
              <w:rPr>
                <w:rFonts w:hint="eastAsia"/>
                <w:sz w:val="18"/>
                <w:szCs w:val="18"/>
              </w:rPr>
              <w:t>5</w:t>
            </w:r>
          </w:p>
        </w:tc>
        <w:tc>
          <w:tcPr>
            <w:tcW w:w="1843" w:type="dxa"/>
            <w:gridSpan w:val="2"/>
            <w:tcBorders>
              <w:top w:val="nil"/>
              <w:left w:val="nil"/>
              <w:bottom w:val="single" w:color="auto" w:sz="4" w:space="0"/>
              <w:right w:val="single" w:color="auto" w:sz="4" w:space="0"/>
            </w:tcBorders>
            <w:vAlign w:val="center"/>
          </w:tcPr>
          <w:p>
            <w:pPr>
              <w:ind w:firstLine="0" w:firstLineChars="0"/>
              <w:jc w:val="center"/>
              <w:rPr>
                <w:rFonts w:ascii="Arial" w:hAnsi="Arial" w:cs="Arial"/>
                <w:sz w:val="18"/>
                <w:szCs w:val="18"/>
              </w:rPr>
            </w:pPr>
            <w:r>
              <w:rPr>
                <w:rFonts w:ascii="Arial" w:hAnsi="Arial" w:cs="Arial"/>
                <w:sz w:val="18"/>
                <w:szCs w:val="18"/>
              </w:rPr>
              <w:t>双师型教师专业技能培训</w:t>
            </w:r>
          </w:p>
        </w:tc>
        <w:tc>
          <w:tcPr>
            <w:tcW w:w="992"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谢晓佳</w:t>
            </w:r>
          </w:p>
        </w:tc>
        <w:tc>
          <w:tcPr>
            <w:tcW w:w="1276"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揭阳捷和职业技术学校</w:t>
            </w:r>
          </w:p>
        </w:tc>
        <w:tc>
          <w:tcPr>
            <w:tcW w:w="709" w:type="dxa"/>
            <w:gridSpan w:val="2"/>
            <w:tcBorders>
              <w:top w:val="nil"/>
              <w:left w:val="nil"/>
              <w:bottom w:val="single" w:color="auto" w:sz="4" w:space="0"/>
              <w:right w:val="single" w:color="auto" w:sz="4" w:space="0"/>
            </w:tcBorders>
            <w:vAlign w:val="center"/>
          </w:tcPr>
          <w:p>
            <w:pPr>
              <w:ind w:firstLineChars="111"/>
              <w:rPr>
                <w:rFonts w:ascii="宋体" w:hAnsi="宋体" w:cs="宋体"/>
                <w:sz w:val="18"/>
                <w:szCs w:val="18"/>
              </w:rPr>
            </w:pPr>
            <w:r>
              <w:rPr>
                <w:rFonts w:hint="eastAsia"/>
                <w:sz w:val="18"/>
                <w:szCs w:val="18"/>
              </w:rPr>
              <w:t>男</w:t>
            </w:r>
          </w:p>
        </w:tc>
        <w:tc>
          <w:tcPr>
            <w:tcW w:w="708" w:type="dxa"/>
            <w:gridSpan w:val="2"/>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34</w:t>
            </w:r>
          </w:p>
        </w:tc>
        <w:tc>
          <w:tcPr>
            <w:tcW w:w="709" w:type="dxa"/>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10</w:t>
            </w:r>
          </w:p>
        </w:tc>
        <w:tc>
          <w:tcPr>
            <w:tcW w:w="1134"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电子商务</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本科</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中二教师</w:t>
            </w:r>
          </w:p>
        </w:tc>
      </w:tr>
      <w:tr>
        <w:tblPrEx>
          <w:tblCellMar>
            <w:top w:w="0" w:type="dxa"/>
            <w:left w:w="108" w:type="dxa"/>
            <w:bottom w:w="0" w:type="dxa"/>
            <w:right w:w="108" w:type="dxa"/>
          </w:tblCellMar>
        </w:tblPrEx>
        <w:trPr>
          <w:trHeight w:val="1044" w:hRule="atLeast"/>
        </w:trPr>
        <w:tc>
          <w:tcPr>
            <w:tcW w:w="709" w:type="dxa"/>
            <w:gridSpan w:val="2"/>
            <w:tcBorders>
              <w:top w:val="nil"/>
              <w:left w:val="single" w:color="auto" w:sz="4" w:space="0"/>
              <w:bottom w:val="single" w:color="auto" w:sz="4" w:space="0"/>
              <w:right w:val="single" w:color="auto" w:sz="4" w:space="0"/>
            </w:tcBorders>
            <w:vAlign w:val="center"/>
          </w:tcPr>
          <w:p>
            <w:pPr>
              <w:ind w:firstLineChars="111"/>
              <w:rPr>
                <w:sz w:val="18"/>
                <w:szCs w:val="18"/>
              </w:rPr>
            </w:pPr>
            <w:r>
              <w:rPr>
                <w:rFonts w:hint="eastAsia"/>
                <w:sz w:val="18"/>
                <w:szCs w:val="18"/>
              </w:rPr>
              <w:t>6</w:t>
            </w:r>
          </w:p>
        </w:tc>
        <w:tc>
          <w:tcPr>
            <w:tcW w:w="1843" w:type="dxa"/>
            <w:gridSpan w:val="2"/>
            <w:tcBorders>
              <w:top w:val="nil"/>
              <w:left w:val="nil"/>
              <w:bottom w:val="single" w:color="auto" w:sz="4" w:space="0"/>
              <w:right w:val="single" w:color="auto" w:sz="4" w:space="0"/>
            </w:tcBorders>
            <w:vAlign w:val="center"/>
          </w:tcPr>
          <w:p>
            <w:pPr>
              <w:ind w:firstLine="0" w:firstLineChars="0"/>
              <w:jc w:val="center"/>
              <w:rPr>
                <w:rFonts w:ascii="Arial" w:hAnsi="Arial" w:cs="Arial"/>
                <w:sz w:val="18"/>
                <w:szCs w:val="18"/>
              </w:rPr>
            </w:pPr>
            <w:r>
              <w:rPr>
                <w:rFonts w:ascii="Arial" w:hAnsi="Arial" w:cs="Arial"/>
                <w:sz w:val="18"/>
                <w:szCs w:val="18"/>
              </w:rPr>
              <w:t>双师型教师专业技能培训</w:t>
            </w:r>
          </w:p>
        </w:tc>
        <w:tc>
          <w:tcPr>
            <w:tcW w:w="992"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王晓鹏</w:t>
            </w:r>
          </w:p>
        </w:tc>
        <w:tc>
          <w:tcPr>
            <w:tcW w:w="1276"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揭阳捷和职业技术学校</w:t>
            </w:r>
          </w:p>
        </w:tc>
        <w:tc>
          <w:tcPr>
            <w:tcW w:w="709" w:type="dxa"/>
            <w:gridSpan w:val="2"/>
            <w:tcBorders>
              <w:top w:val="nil"/>
              <w:left w:val="nil"/>
              <w:bottom w:val="single" w:color="auto" w:sz="4" w:space="0"/>
              <w:right w:val="single" w:color="auto" w:sz="4" w:space="0"/>
            </w:tcBorders>
            <w:vAlign w:val="center"/>
          </w:tcPr>
          <w:p>
            <w:pPr>
              <w:ind w:firstLineChars="111"/>
              <w:rPr>
                <w:rFonts w:ascii="宋体" w:hAnsi="宋体" w:cs="宋体"/>
                <w:sz w:val="18"/>
                <w:szCs w:val="18"/>
              </w:rPr>
            </w:pPr>
            <w:r>
              <w:rPr>
                <w:rFonts w:hint="eastAsia"/>
                <w:sz w:val="18"/>
                <w:szCs w:val="18"/>
              </w:rPr>
              <w:t>男</w:t>
            </w:r>
          </w:p>
        </w:tc>
        <w:tc>
          <w:tcPr>
            <w:tcW w:w="708" w:type="dxa"/>
            <w:gridSpan w:val="2"/>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35</w:t>
            </w:r>
          </w:p>
        </w:tc>
        <w:tc>
          <w:tcPr>
            <w:tcW w:w="709" w:type="dxa"/>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12</w:t>
            </w:r>
          </w:p>
        </w:tc>
        <w:tc>
          <w:tcPr>
            <w:tcW w:w="1134"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电子与信息技术</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本科</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中一</w:t>
            </w:r>
            <w:r>
              <w:rPr>
                <w:rFonts w:ascii="Calibri" w:hAnsi="Calibri" w:cs="Calibri"/>
                <w:sz w:val="18"/>
                <w:szCs w:val="18"/>
              </w:rPr>
              <w:t xml:space="preserve">     </w:t>
            </w:r>
            <w:r>
              <w:rPr>
                <w:rFonts w:hint="eastAsia"/>
                <w:sz w:val="18"/>
                <w:szCs w:val="18"/>
              </w:rPr>
              <w:t>教师</w:t>
            </w:r>
          </w:p>
        </w:tc>
      </w:tr>
      <w:tr>
        <w:tblPrEx>
          <w:tblCellMar>
            <w:top w:w="0" w:type="dxa"/>
            <w:left w:w="108" w:type="dxa"/>
            <w:bottom w:w="0" w:type="dxa"/>
            <w:right w:w="108" w:type="dxa"/>
          </w:tblCellMar>
        </w:tblPrEx>
        <w:trPr>
          <w:trHeight w:val="759" w:hRule="atLeast"/>
        </w:trPr>
        <w:tc>
          <w:tcPr>
            <w:tcW w:w="709" w:type="dxa"/>
            <w:gridSpan w:val="2"/>
            <w:tcBorders>
              <w:top w:val="nil"/>
              <w:left w:val="single" w:color="auto" w:sz="4" w:space="0"/>
              <w:bottom w:val="single" w:color="auto" w:sz="4" w:space="0"/>
              <w:right w:val="single" w:color="auto" w:sz="4" w:space="0"/>
            </w:tcBorders>
            <w:vAlign w:val="center"/>
          </w:tcPr>
          <w:p>
            <w:pPr>
              <w:ind w:firstLineChars="111"/>
              <w:rPr>
                <w:sz w:val="18"/>
                <w:szCs w:val="18"/>
              </w:rPr>
            </w:pPr>
            <w:r>
              <w:rPr>
                <w:rFonts w:hint="eastAsia"/>
                <w:sz w:val="18"/>
                <w:szCs w:val="18"/>
              </w:rPr>
              <w:t>7</w:t>
            </w:r>
          </w:p>
        </w:tc>
        <w:tc>
          <w:tcPr>
            <w:tcW w:w="1843" w:type="dxa"/>
            <w:gridSpan w:val="2"/>
            <w:tcBorders>
              <w:top w:val="nil"/>
              <w:left w:val="nil"/>
              <w:bottom w:val="single" w:color="auto" w:sz="4" w:space="0"/>
              <w:right w:val="single" w:color="auto" w:sz="4" w:space="0"/>
            </w:tcBorders>
            <w:vAlign w:val="center"/>
          </w:tcPr>
          <w:p>
            <w:pPr>
              <w:ind w:firstLine="0" w:firstLineChars="0"/>
              <w:jc w:val="center"/>
              <w:rPr>
                <w:rFonts w:ascii="Arial" w:hAnsi="Arial" w:cs="Arial"/>
                <w:sz w:val="18"/>
                <w:szCs w:val="18"/>
              </w:rPr>
            </w:pPr>
            <w:r>
              <w:rPr>
                <w:rFonts w:ascii="Arial" w:hAnsi="Arial" w:cs="Arial"/>
                <w:sz w:val="18"/>
                <w:szCs w:val="18"/>
              </w:rPr>
              <w:t>双师型教师专业技能培训</w:t>
            </w:r>
          </w:p>
        </w:tc>
        <w:tc>
          <w:tcPr>
            <w:tcW w:w="992"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林婉婉</w:t>
            </w:r>
          </w:p>
        </w:tc>
        <w:tc>
          <w:tcPr>
            <w:tcW w:w="1276"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揭阳捷和职业技术学校</w:t>
            </w:r>
          </w:p>
        </w:tc>
        <w:tc>
          <w:tcPr>
            <w:tcW w:w="709" w:type="dxa"/>
            <w:gridSpan w:val="2"/>
            <w:tcBorders>
              <w:top w:val="nil"/>
              <w:left w:val="nil"/>
              <w:bottom w:val="single" w:color="auto" w:sz="4" w:space="0"/>
              <w:right w:val="single" w:color="auto" w:sz="4" w:space="0"/>
            </w:tcBorders>
            <w:vAlign w:val="center"/>
          </w:tcPr>
          <w:p>
            <w:pPr>
              <w:ind w:firstLineChars="111"/>
              <w:rPr>
                <w:rFonts w:ascii="宋体" w:hAnsi="宋体" w:cs="宋体"/>
                <w:sz w:val="18"/>
                <w:szCs w:val="18"/>
              </w:rPr>
            </w:pPr>
            <w:r>
              <w:rPr>
                <w:rFonts w:hint="eastAsia"/>
                <w:sz w:val="18"/>
                <w:szCs w:val="18"/>
              </w:rPr>
              <w:t>女</w:t>
            </w:r>
          </w:p>
        </w:tc>
        <w:tc>
          <w:tcPr>
            <w:tcW w:w="708" w:type="dxa"/>
            <w:gridSpan w:val="2"/>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32</w:t>
            </w:r>
          </w:p>
        </w:tc>
        <w:tc>
          <w:tcPr>
            <w:tcW w:w="709" w:type="dxa"/>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8</w:t>
            </w:r>
          </w:p>
        </w:tc>
        <w:tc>
          <w:tcPr>
            <w:tcW w:w="1134"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电子与信息技术</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本科</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中二教师</w:t>
            </w:r>
          </w:p>
        </w:tc>
      </w:tr>
      <w:tr>
        <w:tblPrEx>
          <w:tblCellMar>
            <w:top w:w="0" w:type="dxa"/>
            <w:left w:w="108" w:type="dxa"/>
            <w:bottom w:w="0" w:type="dxa"/>
            <w:right w:w="108" w:type="dxa"/>
          </w:tblCellMar>
        </w:tblPrEx>
        <w:trPr>
          <w:trHeight w:val="759" w:hRule="atLeast"/>
        </w:trPr>
        <w:tc>
          <w:tcPr>
            <w:tcW w:w="709" w:type="dxa"/>
            <w:gridSpan w:val="2"/>
            <w:tcBorders>
              <w:top w:val="nil"/>
              <w:left w:val="single" w:color="auto" w:sz="4" w:space="0"/>
              <w:bottom w:val="single" w:color="auto" w:sz="4" w:space="0"/>
              <w:right w:val="single" w:color="auto" w:sz="4" w:space="0"/>
            </w:tcBorders>
            <w:vAlign w:val="center"/>
          </w:tcPr>
          <w:p>
            <w:pPr>
              <w:ind w:firstLineChars="111"/>
              <w:rPr>
                <w:sz w:val="18"/>
                <w:szCs w:val="18"/>
              </w:rPr>
            </w:pPr>
            <w:r>
              <w:rPr>
                <w:rFonts w:hint="eastAsia"/>
                <w:sz w:val="18"/>
                <w:szCs w:val="18"/>
              </w:rPr>
              <w:t>8</w:t>
            </w:r>
          </w:p>
        </w:tc>
        <w:tc>
          <w:tcPr>
            <w:tcW w:w="1843" w:type="dxa"/>
            <w:gridSpan w:val="2"/>
            <w:tcBorders>
              <w:top w:val="nil"/>
              <w:left w:val="nil"/>
              <w:bottom w:val="single" w:color="auto" w:sz="4" w:space="0"/>
              <w:right w:val="single" w:color="auto" w:sz="4" w:space="0"/>
            </w:tcBorders>
            <w:vAlign w:val="center"/>
          </w:tcPr>
          <w:p>
            <w:pPr>
              <w:ind w:firstLine="0" w:firstLineChars="0"/>
              <w:jc w:val="center"/>
              <w:rPr>
                <w:rFonts w:ascii="Arial" w:hAnsi="Arial" w:cs="Arial"/>
                <w:sz w:val="18"/>
                <w:szCs w:val="18"/>
              </w:rPr>
            </w:pPr>
            <w:r>
              <w:rPr>
                <w:rFonts w:ascii="Arial" w:hAnsi="Arial" w:cs="Arial"/>
                <w:sz w:val="18"/>
                <w:szCs w:val="18"/>
              </w:rPr>
              <w:t>紧缺领域教师技术技能传承创新</w:t>
            </w:r>
          </w:p>
        </w:tc>
        <w:tc>
          <w:tcPr>
            <w:tcW w:w="992"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林旭娜</w:t>
            </w:r>
          </w:p>
        </w:tc>
        <w:tc>
          <w:tcPr>
            <w:tcW w:w="1276"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揭阳捷和职业技术学校</w:t>
            </w:r>
          </w:p>
        </w:tc>
        <w:tc>
          <w:tcPr>
            <w:tcW w:w="709" w:type="dxa"/>
            <w:gridSpan w:val="2"/>
            <w:tcBorders>
              <w:top w:val="nil"/>
              <w:left w:val="nil"/>
              <w:bottom w:val="single" w:color="auto" w:sz="4" w:space="0"/>
              <w:right w:val="single" w:color="auto" w:sz="4" w:space="0"/>
            </w:tcBorders>
            <w:vAlign w:val="center"/>
          </w:tcPr>
          <w:p>
            <w:pPr>
              <w:ind w:firstLineChars="111"/>
              <w:rPr>
                <w:rFonts w:ascii="宋体" w:hAnsi="宋体" w:cs="宋体"/>
                <w:sz w:val="18"/>
                <w:szCs w:val="18"/>
              </w:rPr>
            </w:pPr>
            <w:r>
              <w:rPr>
                <w:rFonts w:hint="eastAsia"/>
                <w:sz w:val="18"/>
                <w:szCs w:val="18"/>
              </w:rPr>
              <w:t>女</w:t>
            </w:r>
          </w:p>
        </w:tc>
        <w:tc>
          <w:tcPr>
            <w:tcW w:w="708" w:type="dxa"/>
            <w:gridSpan w:val="2"/>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32</w:t>
            </w:r>
          </w:p>
        </w:tc>
        <w:tc>
          <w:tcPr>
            <w:tcW w:w="709" w:type="dxa"/>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7</w:t>
            </w:r>
          </w:p>
        </w:tc>
        <w:tc>
          <w:tcPr>
            <w:tcW w:w="1134"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动漫美术</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本科</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中二教师</w:t>
            </w:r>
          </w:p>
        </w:tc>
      </w:tr>
      <w:tr>
        <w:tblPrEx>
          <w:tblCellMar>
            <w:top w:w="0" w:type="dxa"/>
            <w:left w:w="108" w:type="dxa"/>
            <w:bottom w:w="0" w:type="dxa"/>
            <w:right w:w="108" w:type="dxa"/>
          </w:tblCellMar>
        </w:tblPrEx>
        <w:trPr>
          <w:trHeight w:val="759" w:hRule="atLeast"/>
        </w:trPr>
        <w:tc>
          <w:tcPr>
            <w:tcW w:w="709" w:type="dxa"/>
            <w:gridSpan w:val="2"/>
            <w:tcBorders>
              <w:top w:val="nil"/>
              <w:left w:val="single" w:color="auto" w:sz="4" w:space="0"/>
              <w:bottom w:val="single" w:color="auto" w:sz="4" w:space="0"/>
              <w:right w:val="single" w:color="auto" w:sz="4" w:space="0"/>
            </w:tcBorders>
            <w:vAlign w:val="center"/>
          </w:tcPr>
          <w:p>
            <w:pPr>
              <w:ind w:firstLineChars="111"/>
              <w:rPr>
                <w:sz w:val="18"/>
                <w:szCs w:val="18"/>
              </w:rPr>
            </w:pPr>
            <w:r>
              <w:rPr>
                <w:rFonts w:hint="eastAsia"/>
                <w:sz w:val="18"/>
                <w:szCs w:val="18"/>
              </w:rPr>
              <w:t>9</w:t>
            </w:r>
          </w:p>
        </w:tc>
        <w:tc>
          <w:tcPr>
            <w:tcW w:w="1843" w:type="dxa"/>
            <w:gridSpan w:val="2"/>
            <w:tcBorders>
              <w:top w:val="nil"/>
              <w:left w:val="nil"/>
              <w:bottom w:val="single" w:color="auto" w:sz="4" w:space="0"/>
              <w:right w:val="single" w:color="auto" w:sz="4" w:space="0"/>
            </w:tcBorders>
            <w:vAlign w:val="center"/>
          </w:tcPr>
          <w:p>
            <w:pPr>
              <w:ind w:firstLineChars="111"/>
              <w:jc w:val="center"/>
              <w:rPr>
                <w:rFonts w:ascii="Arial" w:hAnsi="Arial" w:cs="Arial"/>
                <w:sz w:val="18"/>
                <w:szCs w:val="18"/>
              </w:rPr>
            </w:pPr>
            <w:r>
              <w:rPr>
                <w:rFonts w:ascii="Arial" w:hAnsi="Arial" w:cs="Arial"/>
                <w:sz w:val="18"/>
                <w:szCs w:val="18"/>
              </w:rPr>
              <w:t>教师企业实践</w:t>
            </w:r>
          </w:p>
        </w:tc>
        <w:tc>
          <w:tcPr>
            <w:tcW w:w="992"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潘润</w:t>
            </w:r>
          </w:p>
        </w:tc>
        <w:tc>
          <w:tcPr>
            <w:tcW w:w="1276"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揭阳捷和职业技术学校</w:t>
            </w:r>
          </w:p>
        </w:tc>
        <w:tc>
          <w:tcPr>
            <w:tcW w:w="709" w:type="dxa"/>
            <w:gridSpan w:val="2"/>
            <w:tcBorders>
              <w:top w:val="nil"/>
              <w:left w:val="nil"/>
              <w:bottom w:val="single" w:color="auto" w:sz="4" w:space="0"/>
              <w:right w:val="single" w:color="auto" w:sz="4" w:space="0"/>
            </w:tcBorders>
            <w:vAlign w:val="center"/>
          </w:tcPr>
          <w:p>
            <w:pPr>
              <w:ind w:firstLineChars="111"/>
              <w:rPr>
                <w:rFonts w:ascii="宋体" w:hAnsi="宋体" w:cs="宋体"/>
                <w:sz w:val="18"/>
                <w:szCs w:val="18"/>
              </w:rPr>
            </w:pPr>
            <w:r>
              <w:rPr>
                <w:rFonts w:hint="eastAsia"/>
                <w:sz w:val="18"/>
                <w:szCs w:val="18"/>
              </w:rPr>
              <w:t>女</w:t>
            </w:r>
          </w:p>
        </w:tc>
        <w:tc>
          <w:tcPr>
            <w:tcW w:w="708" w:type="dxa"/>
            <w:gridSpan w:val="2"/>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26</w:t>
            </w:r>
          </w:p>
        </w:tc>
        <w:tc>
          <w:tcPr>
            <w:tcW w:w="709" w:type="dxa"/>
            <w:tcBorders>
              <w:top w:val="nil"/>
              <w:left w:val="nil"/>
              <w:bottom w:val="single" w:color="auto" w:sz="4" w:space="0"/>
              <w:right w:val="single" w:color="auto" w:sz="4" w:space="0"/>
            </w:tcBorders>
            <w:vAlign w:val="center"/>
          </w:tcPr>
          <w:p>
            <w:pPr>
              <w:ind w:firstLine="0" w:firstLineChars="0"/>
              <w:jc w:val="center"/>
              <w:rPr>
                <w:rFonts w:ascii="Calibri" w:hAnsi="Calibri" w:cs="Calibri"/>
                <w:sz w:val="18"/>
                <w:szCs w:val="18"/>
              </w:rPr>
            </w:pPr>
            <w:r>
              <w:rPr>
                <w:rFonts w:ascii="Calibri" w:hAnsi="Calibri" w:cs="Calibri"/>
                <w:sz w:val="18"/>
                <w:szCs w:val="18"/>
              </w:rPr>
              <w:t>2</w:t>
            </w:r>
          </w:p>
        </w:tc>
        <w:tc>
          <w:tcPr>
            <w:tcW w:w="1134"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烹饪与营养教育</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rFonts w:ascii="宋体" w:hAnsi="宋体" w:cs="宋体"/>
                <w:sz w:val="18"/>
                <w:szCs w:val="18"/>
              </w:rPr>
            </w:pPr>
            <w:r>
              <w:rPr>
                <w:rFonts w:hint="eastAsia"/>
                <w:sz w:val="18"/>
                <w:szCs w:val="18"/>
              </w:rPr>
              <w:t>本科</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无</w:t>
            </w:r>
          </w:p>
        </w:tc>
      </w:tr>
      <w:tr>
        <w:tblPrEx>
          <w:tblCellMar>
            <w:top w:w="0" w:type="dxa"/>
            <w:left w:w="108" w:type="dxa"/>
            <w:bottom w:w="0" w:type="dxa"/>
            <w:right w:w="108" w:type="dxa"/>
          </w:tblCellMar>
        </w:tblPrEx>
        <w:trPr>
          <w:trHeight w:val="480" w:hRule="atLeast"/>
        </w:trPr>
        <w:tc>
          <w:tcPr>
            <w:tcW w:w="9498" w:type="dxa"/>
            <w:gridSpan w:val="19"/>
            <w:tcBorders>
              <w:top w:val="nil"/>
              <w:left w:val="nil"/>
              <w:bottom w:val="nil"/>
              <w:right w:val="nil"/>
            </w:tcBorders>
            <w:vAlign w:val="center"/>
          </w:tcPr>
          <w:p>
            <w:pPr>
              <w:ind w:firstLine="0" w:firstLineChars="0"/>
              <w:rPr>
                <w:rFonts w:hint="eastAsia" w:ascii="宋体" w:hAnsi="宋体"/>
              </w:rPr>
            </w:pPr>
          </w:p>
          <w:p>
            <w:pPr>
              <w:ind w:firstLine="720" w:firstLineChars="300"/>
              <w:rPr>
                <w:rFonts w:ascii="方正小标宋简体" w:hAnsi="宋体" w:eastAsia="方正小标宋简体" w:cs="宋体"/>
                <w:kern w:val="0"/>
                <w:sz w:val="32"/>
                <w:szCs w:val="32"/>
              </w:rPr>
            </w:pPr>
            <w:r>
              <w:rPr>
                <w:rFonts w:hint="eastAsia" w:ascii="宋体" w:hAnsi="宋体"/>
              </w:rPr>
              <w:t>2.广东省2019年中等职业学校教师华为云计算ICT培训项目学员报名信息汇总表</w:t>
            </w:r>
          </w:p>
        </w:tc>
      </w:tr>
      <w:tr>
        <w:tblPrEx>
          <w:tblCellMar>
            <w:top w:w="0" w:type="dxa"/>
            <w:left w:w="108" w:type="dxa"/>
            <w:bottom w:w="0" w:type="dxa"/>
            <w:right w:w="108" w:type="dxa"/>
          </w:tblCellMar>
        </w:tblPrEx>
        <w:trPr>
          <w:trHeight w:val="270" w:hRule="atLeast"/>
        </w:trPr>
        <w:tc>
          <w:tcPr>
            <w:tcW w:w="567" w:type="dxa"/>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序号</w:t>
            </w:r>
          </w:p>
        </w:tc>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ind w:firstLineChars="111"/>
              <w:jc w:val="center"/>
              <w:rPr>
                <w:sz w:val="18"/>
                <w:szCs w:val="18"/>
              </w:rPr>
            </w:pPr>
            <w:r>
              <w:rPr>
                <w:rFonts w:hint="eastAsia"/>
                <w:sz w:val="18"/>
                <w:szCs w:val="18"/>
              </w:rPr>
              <w:t>项目名称</w:t>
            </w:r>
          </w:p>
        </w:tc>
        <w:tc>
          <w:tcPr>
            <w:tcW w:w="850" w:type="dxa"/>
            <w:gridSpan w:val="2"/>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姓名</w:t>
            </w:r>
          </w:p>
        </w:tc>
        <w:tc>
          <w:tcPr>
            <w:tcW w:w="1276" w:type="dxa"/>
            <w:gridSpan w:val="2"/>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工作单位</w:t>
            </w:r>
          </w:p>
        </w:tc>
        <w:tc>
          <w:tcPr>
            <w:tcW w:w="709" w:type="dxa"/>
            <w:gridSpan w:val="2"/>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性别</w:t>
            </w:r>
          </w:p>
        </w:tc>
        <w:tc>
          <w:tcPr>
            <w:tcW w:w="650" w:type="dxa"/>
            <w:gridSpan w:val="2"/>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政治面貌</w:t>
            </w:r>
          </w:p>
        </w:tc>
        <w:tc>
          <w:tcPr>
            <w:tcW w:w="625" w:type="dxa"/>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年龄</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教龄</w:t>
            </w: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ind w:firstLineChars="111"/>
              <w:jc w:val="center"/>
              <w:rPr>
                <w:sz w:val="18"/>
                <w:szCs w:val="18"/>
              </w:rPr>
            </w:pPr>
            <w:r>
              <w:rPr>
                <w:rFonts w:hint="eastAsia"/>
                <w:sz w:val="18"/>
                <w:szCs w:val="18"/>
              </w:rPr>
              <w:t>专业</w:t>
            </w:r>
          </w:p>
        </w:tc>
        <w:tc>
          <w:tcPr>
            <w:tcW w:w="709" w:type="dxa"/>
            <w:gridSpan w:val="2"/>
            <w:tcBorders>
              <w:top w:val="single" w:color="auto" w:sz="4" w:space="0"/>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学历</w:t>
            </w:r>
          </w:p>
        </w:tc>
        <w:tc>
          <w:tcPr>
            <w:tcW w:w="851" w:type="dxa"/>
            <w:gridSpan w:val="3"/>
            <w:tcBorders>
              <w:top w:val="single" w:color="auto" w:sz="4" w:space="0"/>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职称</w:t>
            </w:r>
          </w:p>
        </w:tc>
      </w:tr>
      <w:tr>
        <w:tblPrEx>
          <w:tblCellMar>
            <w:top w:w="0" w:type="dxa"/>
            <w:left w:w="108" w:type="dxa"/>
            <w:bottom w:w="0" w:type="dxa"/>
            <w:right w:w="108" w:type="dxa"/>
          </w:tblCellMar>
        </w:tblPrEx>
        <w:trPr>
          <w:trHeight w:val="270" w:hRule="atLeast"/>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ind w:firstLine="360"/>
              <w:jc w:val="center"/>
              <w:rPr>
                <w:sz w:val="18"/>
                <w:szCs w:val="18"/>
              </w:rPr>
            </w:pPr>
          </w:p>
        </w:tc>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ind w:firstLine="360"/>
              <w:jc w:val="center"/>
              <w:rPr>
                <w:sz w:val="18"/>
                <w:szCs w:val="18"/>
              </w:rPr>
            </w:pPr>
          </w:p>
        </w:tc>
        <w:tc>
          <w:tcPr>
            <w:tcW w:w="850" w:type="dxa"/>
            <w:gridSpan w:val="2"/>
            <w:vMerge w:val="continue"/>
            <w:tcBorders>
              <w:top w:val="single" w:color="auto" w:sz="4" w:space="0"/>
              <w:left w:val="single" w:color="auto" w:sz="4" w:space="0"/>
              <w:bottom w:val="single" w:color="auto" w:sz="4" w:space="0"/>
              <w:right w:val="single" w:color="auto" w:sz="4" w:space="0"/>
            </w:tcBorders>
            <w:vAlign w:val="center"/>
          </w:tcPr>
          <w:p>
            <w:pPr>
              <w:ind w:firstLine="360"/>
              <w:jc w:val="center"/>
              <w:rPr>
                <w:sz w:val="18"/>
                <w:szCs w:val="18"/>
              </w:rPr>
            </w:pPr>
          </w:p>
        </w:tc>
        <w:tc>
          <w:tcPr>
            <w:tcW w:w="1276" w:type="dxa"/>
            <w:gridSpan w:val="2"/>
            <w:vMerge w:val="continue"/>
            <w:tcBorders>
              <w:top w:val="single" w:color="auto" w:sz="4" w:space="0"/>
              <w:left w:val="single" w:color="auto" w:sz="4" w:space="0"/>
              <w:bottom w:val="single" w:color="auto" w:sz="4" w:space="0"/>
              <w:right w:val="single" w:color="auto" w:sz="4" w:space="0"/>
            </w:tcBorders>
            <w:vAlign w:val="center"/>
          </w:tcPr>
          <w:p>
            <w:pPr>
              <w:ind w:firstLine="360"/>
              <w:jc w:val="center"/>
              <w:rPr>
                <w:sz w:val="18"/>
                <w:szCs w:val="18"/>
              </w:rPr>
            </w:pPr>
          </w:p>
        </w:tc>
        <w:tc>
          <w:tcPr>
            <w:tcW w:w="709" w:type="dxa"/>
            <w:gridSpan w:val="2"/>
            <w:vMerge w:val="continue"/>
            <w:tcBorders>
              <w:top w:val="single" w:color="auto" w:sz="4" w:space="0"/>
              <w:left w:val="single" w:color="auto" w:sz="4" w:space="0"/>
              <w:bottom w:val="single" w:color="auto" w:sz="4" w:space="0"/>
              <w:right w:val="single" w:color="auto" w:sz="4" w:space="0"/>
            </w:tcBorders>
            <w:vAlign w:val="center"/>
          </w:tcPr>
          <w:p>
            <w:pPr>
              <w:ind w:firstLine="360"/>
              <w:jc w:val="center"/>
              <w:rPr>
                <w:sz w:val="18"/>
                <w:szCs w:val="18"/>
              </w:rPr>
            </w:pPr>
          </w:p>
        </w:tc>
        <w:tc>
          <w:tcPr>
            <w:tcW w:w="650" w:type="dxa"/>
            <w:gridSpan w:val="2"/>
            <w:vMerge w:val="continue"/>
            <w:tcBorders>
              <w:top w:val="single" w:color="auto" w:sz="4" w:space="0"/>
              <w:left w:val="single" w:color="auto" w:sz="4" w:space="0"/>
              <w:bottom w:val="single" w:color="auto" w:sz="4" w:space="0"/>
              <w:right w:val="single" w:color="auto" w:sz="4" w:space="0"/>
            </w:tcBorders>
            <w:vAlign w:val="center"/>
          </w:tcPr>
          <w:p>
            <w:pPr>
              <w:ind w:firstLine="360"/>
              <w:jc w:val="center"/>
              <w:rPr>
                <w:sz w:val="18"/>
                <w:szCs w:val="18"/>
              </w:rPr>
            </w:pPr>
          </w:p>
        </w:tc>
        <w:tc>
          <w:tcPr>
            <w:tcW w:w="625" w:type="dxa"/>
            <w:vMerge w:val="continue"/>
            <w:tcBorders>
              <w:top w:val="single" w:color="auto" w:sz="4" w:space="0"/>
              <w:left w:val="single" w:color="auto" w:sz="4" w:space="0"/>
              <w:bottom w:val="single" w:color="auto" w:sz="4" w:space="0"/>
              <w:right w:val="single" w:color="auto" w:sz="4" w:space="0"/>
            </w:tcBorders>
            <w:vAlign w:val="center"/>
          </w:tcPr>
          <w:p>
            <w:pPr>
              <w:ind w:firstLine="360"/>
              <w:jc w:val="center"/>
              <w:rPr>
                <w:sz w:val="18"/>
                <w:szCs w:val="18"/>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ind w:firstLine="360"/>
              <w:jc w:val="center"/>
              <w:rPr>
                <w:sz w:val="18"/>
                <w:szCs w:val="18"/>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ind w:firstLine="360"/>
              <w:jc w:val="center"/>
              <w:rPr>
                <w:sz w:val="18"/>
                <w:szCs w:val="18"/>
              </w:rPr>
            </w:pPr>
          </w:p>
        </w:tc>
        <w:tc>
          <w:tcPr>
            <w:tcW w:w="709"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学位</w:t>
            </w:r>
          </w:p>
        </w:tc>
        <w:tc>
          <w:tcPr>
            <w:tcW w:w="851" w:type="dxa"/>
            <w:gridSpan w:val="3"/>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职务</w:t>
            </w:r>
          </w:p>
        </w:tc>
      </w:tr>
      <w:tr>
        <w:tblPrEx>
          <w:tblCellMar>
            <w:top w:w="0" w:type="dxa"/>
            <w:left w:w="108" w:type="dxa"/>
            <w:bottom w:w="0" w:type="dxa"/>
            <w:right w:w="108" w:type="dxa"/>
          </w:tblCellMar>
        </w:tblPrEx>
        <w:trPr>
          <w:trHeight w:val="735" w:hRule="atLeast"/>
        </w:trPr>
        <w:tc>
          <w:tcPr>
            <w:tcW w:w="567" w:type="dxa"/>
            <w:tcBorders>
              <w:top w:val="nil"/>
              <w:left w:val="single" w:color="auto" w:sz="4" w:space="0"/>
              <w:bottom w:val="single" w:color="auto" w:sz="4" w:space="0"/>
              <w:right w:val="single" w:color="auto" w:sz="4" w:space="0"/>
            </w:tcBorders>
            <w:vAlign w:val="center"/>
          </w:tcPr>
          <w:p>
            <w:pPr>
              <w:ind w:firstLineChars="111"/>
              <w:jc w:val="center"/>
              <w:rPr>
                <w:sz w:val="18"/>
                <w:szCs w:val="18"/>
              </w:rPr>
            </w:pPr>
            <w:r>
              <w:rPr>
                <w:rFonts w:hint="eastAsia"/>
                <w:sz w:val="18"/>
                <w:szCs w:val="18"/>
              </w:rPr>
              <w:t>1</w:t>
            </w:r>
          </w:p>
        </w:tc>
        <w:tc>
          <w:tcPr>
            <w:tcW w:w="1560"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华为云计算</w:t>
            </w:r>
            <w:r>
              <w:rPr>
                <w:sz w:val="18"/>
                <w:szCs w:val="18"/>
              </w:rPr>
              <w:t>ICT</w:t>
            </w:r>
            <w:r>
              <w:rPr>
                <w:rFonts w:hint="eastAsia"/>
                <w:sz w:val="18"/>
                <w:szCs w:val="18"/>
              </w:rPr>
              <w:t>培训项目</w:t>
            </w:r>
          </w:p>
        </w:tc>
        <w:tc>
          <w:tcPr>
            <w:tcW w:w="850"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林旭澜</w:t>
            </w:r>
          </w:p>
        </w:tc>
        <w:tc>
          <w:tcPr>
            <w:tcW w:w="1276"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揭阳捷和职业技术学校</w:t>
            </w:r>
          </w:p>
        </w:tc>
        <w:tc>
          <w:tcPr>
            <w:tcW w:w="709" w:type="dxa"/>
            <w:gridSpan w:val="2"/>
            <w:tcBorders>
              <w:top w:val="nil"/>
              <w:left w:val="nil"/>
              <w:bottom w:val="single" w:color="auto" w:sz="4" w:space="0"/>
              <w:right w:val="single" w:color="auto" w:sz="4" w:space="0"/>
            </w:tcBorders>
            <w:vAlign w:val="center"/>
          </w:tcPr>
          <w:p>
            <w:pPr>
              <w:ind w:firstLineChars="111"/>
              <w:jc w:val="center"/>
              <w:rPr>
                <w:sz w:val="18"/>
                <w:szCs w:val="18"/>
              </w:rPr>
            </w:pPr>
            <w:r>
              <w:rPr>
                <w:rFonts w:hint="eastAsia"/>
                <w:sz w:val="18"/>
                <w:szCs w:val="18"/>
              </w:rPr>
              <w:t>男</w:t>
            </w:r>
          </w:p>
        </w:tc>
        <w:tc>
          <w:tcPr>
            <w:tcW w:w="650"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群众</w:t>
            </w:r>
          </w:p>
        </w:tc>
        <w:tc>
          <w:tcPr>
            <w:tcW w:w="625"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42</w:t>
            </w:r>
          </w:p>
        </w:tc>
        <w:tc>
          <w:tcPr>
            <w:tcW w:w="709"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17</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计算机科学与教育</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大学本科</w:t>
            </w:r>
          </w:p>
        </w:tc>
        <w:tc>
          <w:tcPr>
            <w:tcW w:w="851" w:type="dxa"/>
            <w:gridSpan w:val="3"/>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中学一级教师</w:t>
            </w:r>
          </w:p>
        </w:tc>
      </w:tr>
      <w:tr>
        <w:tblPrEx>
          <w:tblCellMar>
            <w:top w:w="0" w:type="dxa"/>
            <w:left w:w="108" w:type="dxa"/>
            <w:bottom w:w="0" w:type="dxa"/>
            <w:right w:w="108" w:type="dxa"/>
          </w:tblCellMar>
        </w:tblPrEx>
        <w:trPr>
          <w:trHeight w:val="735" w:hRule="atLeast"/>
        </w:trPr>
        <w:tc>
          <w:tcPr>
            <w:tcW w:w="567" w:type="dxa"/>
            <w:tcBorders>
              <w:top w:val="nil"/>
              <w:left w:val="single" w:color="auto" w:sz="4" w:space="0"/>
              <w:bottom w:val="single" w:color="auto" w:sz="4" w:space="0"/>
              <w:right w:val="single" w:color="auto" w:sz="4" w:space="0"/>
            </w:tcBorders>
            <w:vAlign w:val="center"/>
          </w:tcPr>
          <w:p>
            <w:pPr>
              <w:ind w:firstLineChars="111"/>
              <w:jc w:val="center"/>
              <w:rPr>
                <w:sz w:val="18"/>
                <w:szCs w:val="18"/>
              </w:rPr>
            </w:pPr>
            <w:r>
              <w:rPr>
                <w:rFonts w:hint="eastAsia"/>
                <w:sz w:val="18"/>
                <w:szCs w:val="18"/>
              </w:rPr>
              <w:t>2</w:t>
            </w:r>
          </w:p>
        </w:tc>
        <w:tc>
          <w:tcPr>
            <w:tcW w:w="1560"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华为云计算</w:t>
            </w:r>
            <w:r>
              <w:rPr>
                <w:sz w:val="18"/>
                <w:szCs w:val="18"/>
              </w:rPr>
              <w:t>ICT</w:t>
            </w:r>
            <w:r>
              <w:rPr>
                <w:rFonts w:hint="eastAsia"/>
                <w:sz w:val="18"/>
                <w:szCs w:val="18"/>
              </w:rPr>
              <w:t>培训项目</w:t>
            </w:r>
          </w:p>
        </w:tc>
        <w:tc>
          <w:tcPr>
            <w:tcW w:w="850"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黄曼伟</w:t>
            </w:r>
          </w:p>
        </w:tc>
        <w:tc>
          <w:tcPr>
            <w:tcW w:w="1276"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揭阳捷和职业技术学校</w:t>
            </w:r>
          </w:p>
        </w:tc>
        <w:tc>
          <w:tcPr>
            <w:tcW w:w="709" w:type="dxa"/>
            <w:gridSpan w:val="2"/>
            <w:tcBorders>
              <w:top w:val="nil"/>
              <w:left w:val="nil"/>
              <w:bottom w:val="single" w:color="auto" w:sz="4" w:space="0"/>
              <w:right w:val="single" w:color="auto" w:sz="4" w:space="0"/>
            </w:tcBorders>
            <w:vAlign w:val="center"/>
          </w:tcPr>
          <w:p>
            <w:pPr>
              <w:ind w:firstLineChars="111"/>
              <w:jc w:val="center"/>
              <w:rPr>
                <w:sz w:val="18"/>
                <w:szCs w:val="18"/>
              </w:rPr>
            </w:pPr>
            <w:r>
              <w:rPr>
                <w:rFonts w:hint="eastAsia"/>
                <w:sz w:val="18"/>
                <w:szCs w:val="18"/>
              </w:rPr>
              <w:t>男</w:t>
            </w:r>
          </w:p>
        </w:tc>
        <w:tc>
          <w:tcPr>
            <w:tcW w:w="650"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群众</w:t>
            </w:r>
          </w:p>
        </w:tc>
        <w:tc>
          <w:tcPr>
            <w:tcW w:w="625"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36</w:t>
            </w:r>
          </w:p>
        </w:tc>
        <w:tc>
          <w:tcPr>
            <w:tcW w:w="709"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13</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计算机科学与技术</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大学本科</w:t>
            </w:r>
          </w:p>
        </w:tc>
        <w:tc>
          <w:tcPr>
            <w:tcW w:w="851" w:type="dxa"/>
            <w:gridSpan w:val="3"/>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中学二级教师</w:t>
            </w:r>
          </w:p>
        </w:tc>
      </w:tr>
      <w:tr>
        <w:tblPrEx>
          <w:tblCellMar>
            <w:top w:w="0" w:type="dxa"/>
            <w:left w:w="108" w:type="dxa"/>
            <w:bottom w:w="0" w:type="dxa"/>
            <w:right w:w="108" w:type="dxa"/>
          </w:tblCellMar>
        </w:tblPrEx>
        <w:trPr>
          <w:trHeight w:val="735" w:hRule="atLeast"/>
        </w:trPr>
        <w:tc>
          <w:tcPr>
            <w:tcW w:w="567" w:type="dxa"/>
            <w:tcBorders>
              <w:top w:val="nil"/>
              <w:left w:val="single" w:color="auto" w:sz="4" w:space="0"/>
              <w:bottom w:val="single" w:color="auto" w:sz="4" w:space="0"/>
              <w:right w:val="single" w:color="auto" w:sz="4" w:space="0"/>
            </w:tcBorders>
            <w:vAlign w:val="center"/>
          </w:tcPr>
          <w:p>
            <w:pPr>
              <w:ind w:firstLineChars="111"/>
              <w:jc w:val="center"/>
              <w:rPr>
                <w:sz w:val="18"/>
                <w:szCs w:val="18"/>
              </w:rPr>
            </w:pPr>
            <w:r>
              <w:rPr>
                <w:rFonts w:hint="eastAsia"/>
                <w:sz w:val="18"/>
                <w:szCs w:val="18"/>
              </w:rPr>
              <w:t>3</w:t>
            </w:r>
          </w:p>
        </w:tc>
        <w:tc>
          <w:tcPr>
            <w:tcW w:w="1560"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华为云计算</w:t>
            </w:r>
            <w:r>
              <w:rPr>
                <w:sz w:val="18"/>
                <w:szCs w:val="18"/>
              </w:rPr>
              <w:t>ICT</w:t>
            </w:r>
            <w:r>
              <w:rPr>
                <w:rFonts w:hint="eastAsia"/>
                <w:sz w:val="18"/>
                <w:szCs w:val="18"/>
              </w:rPr>
              <w:t>培训项目</w:t>
            </w:r>
          </w:p>
        </w:tc>
        <w:tc>
          <w:tcPr>
            <w:tcW w:w="850"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吴小敏</w:t>
            </w:r>
          </w:p>
        </w:tc>
        <w:tc>
          <w:tcPr>
            <w:tcW w:w="1276"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揭阳捷和职业技术学校</w:t>
            </w:r>
          </w:p>
        </w:tc>
        <w:tc>
          <w:tcPr>
            <w:tcW w:w="709" w:type="dxa"/>
            <w:gridSpan w:val="2"/>
            <w:tcBorders>
              <w:top w:val="nil"/>
              <w:left w:val="nil"/>
              <w:bottom w:val="single" w:color="auto" w:sz="4" w:space="0"/>
              <w:right w:val="single" w:color="auto" w:sz="4" w:space="0"/>
            </w:tcBorders>
            <w:vAlign w:val="center"/>
          </w:tcPr>
          <w:p>
            <w:pPr>
              <w:ind w:firstLineChars="111"/>
              <w:jc w:val="center"/>
              <w:rPr>
                <w:sz w:val="18"/>
                <w:szCs w:val="18"/>
              </w:rPr>
            </w:pPr>
            <w:r>
              <w:rPr>
                <w:rFonts w:hint="eastAsia"/>
                <w:sz w:val="18"/>
                <w:szCs w:val="18"/>
              </w:rPr>
              <w:t>女</w:t>
            </w:r>
          </w:p>
        </w:tc>
        <w:tc>
          <w:tcPr>
            <w:tcW w:w="650"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群众</w:t>
            </w:r>
          </w:p>
        </w:tc>
        <w:tc>
          <w:tcPr>
            <w:tcW w:w="625"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28</w:t>
            </w:r>
          </w:p>
        </w:tc>
        <w:tc>
          <w:tcPr>
            <w:tcW w:w="709"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2</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计算机科学与教育</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大学本科</w:t>
            </w:r>
          </w:p>
        </w:tc>
        <w:tc>
          <w:tcPr>
            <w:tcW w:w="851" w:type="dxa"/>
            <w:gridSpan w:val="3"/>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助教</w:t>
            </w:r>
          </w:p>
        </w:tc>
      </w:tr>
      <w:tr>
        <w:tblPrEx>
          <w:tblCellMar>
            <w:top w:w="0" w:type="dxa"/>
            <w:left w:w="108" w:type="dxa"/>
            <w:bottom w:w="0" w:type="dxa"/>
            <w:right w:w="108" w:type="dxa"/>
          </w:tblCellMar>
        </w:tblPrEx>
        <w:trPr>
          <w:trHeight w:val="735" w:hRule="atLeast"/>
        </w:trPr>
        <w:tc>
          <w:tcPr>
            <w:tcW w:w="567" w:type="dxa"/>
            <w:tcBorders>
              <w:top w:val="nil"/>
              <w:left w:val="single" w:color="auto" w:sz="4" w:space="0"/>
              <w:bottom w:val="single" w:color="auto" w:sz="4" w:space="0"/>
              <w:right w:val="single" w:color="auto" w:sz="4" w:space="0"/>
            </w:tcBorders>
            <w:vAlign w:val="center"/>
          </w:tcPr>
          <w:p>
            <w:pPr>
              <w:ind w:firstLineChars="111"/>
              <w:jc w:val="center"/>
              <w:rPr>
                <w:sz w:val="18"/>
                <w:szCs w:val="18"/>
              </w:rPr>
            </w:pPr>
            <w:r>
              <w:rPr>
                <w:rFonts w:hint="eastAsia"/>
                <w:sz w:val="18"/>
                <w:szCs w:val="18"/>
              </w:rPr>
              <w:t>4</w:t>
            </w:r>
          </w:p>
        </w:tc>
        <w:tc>
          <w:tcPr>
            <w:tcW w:w="1560"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华为云计算</w:t>
            </w:r>
            <w:r>
              <w:rPr>
                <w:sz w:val="18"/>
                <w:szCs w:val="18"/>
              </w:rPr>
              <w:t>ICT</w:t>
            </w:r>
            <w:r>
              <w:rPr>
                <w:rFonts w:hint="eastAsia"/>
                <w:sz w:val="18"/>
                <w:szCs w:val="18"/>
              </w:rPr>
              <w:t>培训项目</w:t>
            </w:r>
          </w:p>
        </w:tc>
        <w:tc>
          <w:tcPr>
            <w:tcW w:w="850"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杨穗生</w:t>
            </w:r>
          </w:p>
        </w:tc>
        <w:tc>
          <w:tcPr>
            <w:tcW w:w="1276"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揭阳捷和职业技术学校</w:t>
            </w:r>
          </w:p>
        </w:tc>
        <w:tc>
          <w:tcPr>
            <w:tcW w:w="709" w:type="dxa"/>
            <w:gridSpan w:val="2"/>
            <w:tcBorders>
              <w:top w:val="nil"/>
              <w:left w:val="nil"/>
              <w:bottom w:val="single" w:color="auto" w:sz="4" w:space="0"/>
              <w:right w:val="single" w:color="auto" w:sz="4" w:space="0"/>
            </w:tcBorders>
            <w:vAlign w:val="center"/>
          </w:tcPr>
          <w:p>
            <w:pPr>
              <w:ind w:firstLineChars="111"/>
              <w:jc w:val="center"/>
              <w:rPr>
                <w:sz w:val="18"/>
                <w:szCs w:val="18"/>
              </w:rPr>
            </w:pPr>
            <w:r>
              <w:rPr>
                <w:rFonts w:hint="eastAsia"/>
                <w:sz w:val="18"/>
                <w:szCs w:val="18"/>
              </w:rPr>
              <w:t>男</w:t>
            </w:r>
          </w:p>
        </w:tc>
        <w:tc>
          <w:tcPr>
            <w:tcW w:w="650"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党员</w:t>
            </w:r>
          </w:p>
        </w:tc>
        <w:tc>
          <w:tcPr>
            <w:tcW w:w="625"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43</w:t>
            </w:r>
          </w:p>
        </w:tc>
        <w:tc>
          <w:tcPr>
            <w:tcW w:w="709" w:type="dxa"/>
            <w:tcBorders>
              <w:top w:val="nil"/>
              <w:left w:val="nil"/>
              <w:bottom w:val="single" w:color="auto" w:sz="4" w:space="0"/>
              <w:right w:val="single" w:color="auto" w:sz="4" w:space="0"/>
            </w:tcBorders>
            <w:vAlign w:val="center"/>
          </w:tcPr>
          <w:p>
            <w:pPr>
              <w:ind w:firstLine="0" w:firstLineChars="0"/>
              <w:jc w:val="center"/>
              <w:rPr>
                <w:sz w:val="18"/>
                <w:szCs w:val="18"/>
              </w:rPr>
            </w:pPr>
            <w:r>
              <w:rPr>
                <w:sz w:val="18"/>
                <w:szCs w:val="18"/>
              </w:rPr>
              <w:t>20</w:t>
            </w:r>
          </w:p>
        </w:tc>
        <w:tc>
          <w:tcPr>
            <w:tcW w:w="992" w:type="dxa"/>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计算机科学与教育</w:t>
            </w:r>
          </w:p>
        </w:tc>
        <w:tc>
          <w:tcPr>
            <w:tcW w:w="709" w:type="dxa"/>
            <w:gridSpan w:val="2"/>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大学本科</w:t>
            </w:r>
          </w:p>
        </w:tc>
        <w:tc>
          <w:tcPr>
            <w:tcW w:w="851" w:type="dxa"/>
            <w:gridSpan w:val="3"/>
            <w:tcBorders>
              <w:top w:val="nil"/>
              <w:left w:val="nil"/>
              <w:bottom w:val="single" w:color="auto" w:sz="4" w:space="0"/>
              <w:right w:val="single" w:color="auto" w:sz="4" w:space="0"/>
            </w:tcBorders>
            <w:vAlign w:val="center"/>
          </w:tcPr>
          <w:p>
            <w:pPr>
              <w:ind w:firstLine="0" w:firstLineChars="0"/>
              <w:jc w:val="center"/>
              <w:rPr>
                <w:sz w:val="18"/>
                <w:szCs w:val="18"/>
              </w:rPr>
            </w:pPr>
            <w:r>
              <w:rPr>
                <w:rFonts w:hint="eastAsia"/>
                <w:sz w:val="18"/>
                <w:szCs w:val="18"/>
              </w:rPr>
              <w:t>中学一级教师</w:t>
            </w:r>
          </w:p>
        </w:tc>
      </w:tr>
    </w:tbl>
    <w:p>
      <w:pPr>
        <w:ind w:firstLine="480"/>
        <w:rPr>
          <w:rFonts w:hint="eastAsia" w:ascii="宋体" w:hAnsi="宋体"/>
        </w:rPr>
      </w:pPr>
      <w:r>
        <w:rPr>
          <w:rFonts w:hint="eastAsia" w:ascii="宋体" w:hAnsi="宋体"/>
        </w:rPr>
        <w:t>3.参加其他各类培训情况</w:t>
      </w:r>
    </w:p>
    <w:p>
      <w:pPr>
        <w:ind w:firstLine="480"/>
        <w:rPr>
          <w:rFonts w:hint="eastAsia" w:ascii="宋体" w:hAnsi="宋体"/>
        </w:rPr>
      </w:pPr>
      <w:r>
        <w:rPr>
          <w:rFonts w:hint="eastAsia" w:ascii="宋体" w:hAnsi="宋体"/>
        </w:rPr>
        <w:t>（1）2019年3月1-2日周婉老师带学生到顺德胡锦超职业技术学校参加2018-2019年度广东省职业院校学生专业技能大赛（中职）“动漫设计与制作”比赛；</w:t>
      </w:r>
    </w:p>
    <w:p>
      <w:pPr>
        <w:ind w:firstLine="480"/>
        <w:rPr>
          <w:rFonts w:hint="eastAsia" w:ascii="宋体" w:hAnsi="宋体"/>
        </w:rPr>
      </w:pPr>
      <w:r>
        <w:rPr>
          <w:rFonts w:hint="eastAsia" w:ascii="宋体" w:hAnsi="宋体"/>
        </w:rPr>
        <w:t>（2）2019年3月13-14日方概惠、吴小敏两位老师带学生到东莞市电子科技学校参加2018-2019年度广东省职业院校学生专业技能大赛（中职组）计算机检测维修与数据恢复比赛；</w:t>
      </w:r>
    </w:p>
    <w:p>
      <w:pPr>
        <w:ind w:firstLine="480"/>
        <w:rPr>
          <w:rFonts w:hint="eastAsia" w:ascii="宋体" w:hAnsi="宋体"/>
        </w:rPr>
      </w:pPr>
      <w:r>
        <w:rPr>
          <w:rFonts w:hint="eastAsia" w:ascii="宋体" w:hAnsi="宋体"/>
        </w:rPr>
        <w:t>（3）2019年3月15-16日朱旭彬主任带学生到佛山市顺德区陈村职业技术学校参加2018-2019年度广东省职业院校学生专业技能大赛（中职组）幼儿园活动设计比赛；</w:t>
      </w:r>
    </w:p>
    <w:p>
      <w:pPr>
        <w:ind w:firstLine="480"/>
        <w:rPr>
          <w:rFonts w:hint="eastAsia" w:ascii="宋体" w:hAnsi="宋体"/>
        </w:rPr>
      </w:pPr>
      <w:r>
        <w:rPr>
          <w:rFonts w:hint="eastAsia" w:ascii="宋体" w:hAnsi="宋体"/>
        </w:rPr>
        <w:t>（4）2019年3月15-17日佘燕杰科长、陈桂玲老师带学生到广州市旅游商务职业学校参加2018-2019年度广东省职业院校学生专业技能大赛（中职组）酒店服务比赛；</w:t>
      </w:r>
    </w:p>
    <w:p>
      <w:pPr>
        <w:ind w:firstLine="480"/>
        <w:rPr>
          <w:rFonts w:hint="eastAsia" w:ascii="宋体" w:hAnsi="宋体"/>
        </w:rPr>
      </w:pPr>
      <w:r>
        <w:rPr>
          <w:rFonts w:hint="eastAsia" w:ascii="宋体" w:hAnsi="宋体"/>
        </w:rPr>
        <w:t>（5）2019年3月21-23日叶相杰、朱昌福两位老师带3名学生到佛山市顺德区郑敬诒职业技术学校参加2018-2019年度广东省职业院校学生专业技能大赛数控综合应用技术比赛；</w:t>
      </w:r>
    </w:p>
    <w:p>
      <w:pPr>
        <w:ind w:firstLine="480"/>
        <w:rPr>
          <w:rFonts w:hint="eastAsia" w:ascii="宋体" w:hAnsi="宋体"/>
        </w:rPr>
      </w:pPr>
      <w:r>
        <w:rPr>
          <w:rFonts w:hint="eastAsia" w:ascii="宋体" w:hAnsi="宋体"/>
        </w:rPr>
        <w:t>（6）2019年3月22-23日林佳恩科长、林伟生和方清榕两位老师带4名学生到广州市财经职业学校参加2018-2019年度广东省职业院校学生专业技能大赛（中职）沙盘模拟企业经营比赛；</w:t>
      </w:r>
    </w:p>
    <w:p>
      <w:pPr>
        <w:ind w:firstLine="480"/>
        <w:rPr>
          <w:rFonts w:hint="eastAsia" w:ascii="宋体" w:hAnsi="宋体"/>
        </w:rPr>
      </w:pPr>
      <w:r>
        <w:rPr>
          <w:rFonts w:hint="eastAsia" w:ascii="宋体" w:hAnsi="宋体"/>
        </w:rPr>
        <w:t>（7）2019年3月27-28日陈芷婷老师带学生到广东文艺职业学院参加2018-2019年度广东省职业院校学生专业技能大赛（中职组）艺术专业技能（中国舞表演）比赛；</w:t>
      </w:r>
    </w:p>
    <w:p>
      <w:pPr>
        <w:ind w:firstLine="480"/>
        <w:rPr>
          <w:rFonts w:hint="eastAsia" w:ascii="宋体" w:hAnsi="宋体"/>
        </w:rPr>
      </w:pPr>
      <w:r>
        <w:rPr>
          <w:rFonts w:hint="eastAsia" w:ascii="宋体" w:hAnsi="宋体"/>
        </w:rPr>
        <w:t>（8）2019年4月9-10日郭丽华、翁婉琦两位老师到广州参加广东省“3+专业技能课程证书”考试辅导教材编写会议；</w:t>
      </w:r>
    </w:p>
    <w:p>
      <w:pPr>
        <w:ind w:firstLine="480"/>
        <w:rPr>
          <w:rFonts w:hint="eastAsia" w:ascii="宋体" w:hAnsi="宋体"/>
        </w:rPr>
      </w:pPr>
      <w:r>
        <w:rPr>
          <w:rFonts w:hint="eastAsia" w:ascii="宋体" w:hAnsi="宋体"/>
        </w:rPr>
        <w:t>（9）2019年4月10-20日林丽娜副校长到北京参加揭阳名校长工程——卓越中学校长高级研修班集中学习；</w:t>
      </w:r>
    </w:p>
    <w:p>
      <w:pPr>
        <w:ind w:firstLine="480"/>
        <w:rPr>
          <w:rFonts w:hint="eastAsia" w:ascii="宋体" w:hAnsi="宋体"/>
        </w:rPr>
      </w:pPr>
      <w:r>
        <w:rPr>
          <w:rFonts w:hint="eastAsia" w:ascii="宋体" w:hAnsi="宋体"/>
        </w:rPr>
        <w:t>（10）2019年4月12-13日卢文升副校长等4人到深圳参加“广东省中等职业学校特色课程教学资源（微/慕课）开发”研讨会；</w:t>
      </w:r>
    </w:p>
    <w:p>
      <w:pPr>
        <w:ind w:firstLine="480"/>
        <w:rPr>
          <w:rFonts w:hint="eastAsia" w:ascii="宋体" w:hAnsi="宋体"/>
        </w:rPr>
      </w:pPr>
      <w:r>
        <w:rPr>
          <w:rFonts w:hint="eastAsia" w:ascii="宋体" w:hAnsi="宋体"/>
        </w:rPr>
        <w:t>（11）2019年5月26日—6月2日陈同坤科长到广州市参加2019年省级校园足球专项培训；</w:t>
      </w:r>
    </w:p>
    <w:p>
      <w:pPr>
        <w:ind w:firstLine="480"/>
        <w:rPr>
          <w:rFonts w:hint="eastAsia" w:ascii="宋体" w:hAnsi="宋体"/>
        </w:rPr>
      </w:pPr>
      <w:r>
        <w:rPr>
          <w:rFonts w:hint="eastAsia" w:ascii="宋体" w:hAnsi="宋体"/>
        </w:rPr>
        <w:t>（12）2019年5月6-7日佘燕杰科长、夏广通老师到光电农工商职业技术学院参加2019年中高职衔接三二分段转段考核工作会议；</w:t>
      </w:r>
    </w:p>
    <w:p>
      <w:pPr>
        <w:ind w:firstLine="480"/>
        <w:rPr>
          <w:rFonts w:hint="eastAsia" w:ascii="宋体" w:hAnsi="宋体"/>
        </w:rPr>
      </w:pPr>
      <w:r>
        <w:rPr>
          <w:rFonts w:hint="eastAsia" w:ascii="宋体" w:hAnsi="宋体"/>
        </w:rPr>
        <w:t>（13）2019年5月28-29日方清榕老师到广州市商贸职业学校参加新税收政策培训暨广东省职业技术教育学会财经总结、专业指导委员会2019年年会；</w:t>
      </w:r>
    </w:p>
    <w:p>
      <w:pPr>
        <w:ind w:firstLine="480"/>
        <w:rPr>
          <w:rFonts w:hint="eastAsia" w:ascii="宋体" w:hAnsi="宋体"/>
        </w:rPr>
      </w:pPr>
      <w:r>
        <w:rPr>
          <w:rFonts w:hint="eastAsia" w:ascii="宋体" w:hAnsi="宋体"/>
        </w:rPr>
        <w:t>（14）2019年6月13-14日刘洁纯老师到东莞理工学校参加中高衔接人才培养交流研讨会；</w:t>
      </w:r>
    </w:p>
    <w:p>
      <w:pPr>
        <w:pStyle w:val="4"/>
      </w:pPr>
      <w:bookmarkStart w:id="136" w:name="_Toc29995156"/>
      <w:r>
        <w:rPr>
          <w:rFonts w:hint="eastAsia"/>
        </w:rPr>
        <w:t>3.3.3建立激励制度</w:t>
      </w:r>
      <w:bookmarkEnd w:id="135"/>
      <w:bookmarkEnd w:id="136"/>
    </w:p>
    <w:p>
      <w:pPr>
        <w:pStyle w:val="13"/>
        <w:shd w:val="clear" w:color="auto" w:fill="FFFFFF"/>
        <w:spacing w:beforeAutospacing="0" w:afterAutospacing="0"/>
        <w:ind w:firstLine="480"/>
      </w:pPr>
      <w:r>
        <w:rPr>
          <w:rFonts w:hint="eastAsia"/>
        </w:rPr>
        <w:t>完善教职工的年度考核与评优制度，建立记录工作轨迹的教职工工作卡，做好上级教育教学部门开展的各类推优评优活动，开展</w:t>
      </w:r>
      <w:r>
        <w:t xml:space="preserve"> </w:t>
      </w:r>
      <w:r>
        <w:rPr>
          <w:rFonts w:hint="eastAsia"/>
        </w:rPr>
        <w:t>“四有好老师”评选活动，培养优秀骨干教师、教学名师，鼓励冒尖，培养更多的省市学科带头人。</w:t>
      </w:r>
    </w:p>
    <w:p>
      <w:pPr>
        <w:pStyle w:val="4"/>
      </w:pPr>
      <w:bookmarkStart w:id="137" w:name="_Toc29995157"/>
      <w:bookmarkStart w:id="138" w:name="_Toc505003808"/>
      <w:r>
        <w:rPr>
          <w:rFonts w:hint="eastAsia"/>
        </w:rPr>
        <w:t>3.3.4加强教育科研</w:t>
      </w:r>
      <w:bookmarkEnd w:id="137"/>
      <w:bookmarkEnd w:id="138"/>
    </w:p>
    <w:p>
      <w:pPr>
        <w:ind w:firstLine="480"/>
        <w:rPr>
          <w:rFonts w:ascii="宋体" w:hAnsi="宋体"/>
        </w:rPr>
      </w:pPr>
      <w:r>
        <w:rPr>
          <w:rFonts w:hint="eastAsia" w:ascii="宋体" w:hAnsi="宋体"/>
        </w:rPr>
        <w:t>加强学校教科研工作，指导各教研组、课题项目组开展研究活动；学校开展“依法治校与人文关怀”省重点科研课题研究；揭阳市教育科学“十三五”规划2017年度重点课题《中餐烹饪与营养膳食”专业试行现代学徒制办学模式研究》研究；揭阳市教育科学“十三五”规划2017年度课题《音乐课程教学与学科核心素养培养的研究》研究；制订学校的校本教研、校本培训、校本课程开发、综合实践活动等工作的实施方案和评价标准，推动上述各项工作的顺利开展。</w:t>
      </w:r>
    </w:p>
    <w:p>
      <w:pPr>
        <w:pStyle w:val="3"/>
      </w:pPr>
      <w:bookmarkStart w:id="139" w:name="_Toc505003809"/>
      <w:bookmarkStart w:id="140" w:name="_Toc29995158"/>
      <w:r>
        <w:rPr>
          <w:rFonts w:hint="eastAsia"/>
        </w:rPr>
        <w:t>3.4 规范化管理情况</w:t>
      </w:r>
      <w:bookmarkEnd w:id="139"/>
      <w:bookmarkEnd w:id="140"/>
    </w:p>
    <w:p>
      <w:pPr>
        <w:pStyle w:val="4"/>
      </w:pPr>
      <w:bookmarkStart w:id="141" w:name="_Toc505003810"/>
      <w:bookmarkStart w:id="142" w:name="_Toc29995159"/>
      <w:r>
        <w:rPr>
          <w:rFonts w:hint="eastAsia"/>
        </w:rPr>
        <w:t>3.4.1教学管理规范运行</w:t>
      </w:r>
      <w:bookmarkEnd w:id="141"/>
      <w:bookmarkEnd w:id="142"/>
    </w:p>
    <w:p>
      <w:pPr>
        <w:ind w:firstLine="600" w:firstLineChars="250"/>
      </w:pPr>
      <w:r>
        <w:rPr>
          <w:rFonts w:hint="eastAsia"/>
        </w:rPr>
        <w:t>一是不断探索和完善教学管理体系，实行校部二级管理，设立教务科和专业部，部门管理职责权限明确。二是抓好教学计划管理。依据实施性教学计划，制定 “四表一志”（校历表、作息时间表、教学进程表、课程表、班主任日志），下达教学任务书，明确了各阶段的教学内容及重点。根据学校教学工作计划，认真制定教学处工作计划；组织教研组长制定教研组工作计划；组织教师编制课程授课计划，落实理论课实验课实训课的教学内容；并按计划执行。三是按照中等职业教育的人才培养目标和不同课程的岗位要求，按照规范程序编制了课程标准。四是抓好教学过程管理。加强对教学质量的监控，平时每节课都有值日教师查课；定期检查备课笔记、听课笔记和学生作业，发现问题及时督促整改；认真组织期中、期末考核和质量分析；进行评教评学活动，了解教学情况，及时纠正偏差。五是积极推进课程改革，大力开发校本教材，并重视资源开发与利用。</w:t>
      </w:r>
    </w:p>
    <w:p>
      <w:pPr>
        <w:pStyle w:val="4"/>
      </w:pPr>
      <w:bookmarkStart w:id="143" w:name="_Toc505003811"/>
      <w:bookmarkStart w:id="144" w:name="_Toc29995160"/>
      <w:r>
        <w:rPr>
          <w:rFonts w:hint="eastAsia"/>
        </w:rPr>
        <w:t>3.4.2学生管理创新开展</w:t>
      </w:r>
      <w:bookmarkEnd w:id="143"/>
      <w:bookmarkEnd w:id="144"/>
    </w:p>
    <w:p>
      <w:pPr>
        <w:widowControl/>
        <w:ind w:firstLine="480"/>
      </w:pPr>
      <w:r>
        <w:rPr>
          <w:rFonts w:hint="eastAsia"/>
        </w:rPr>
        <w:t>我校把学生管理、学生教育、学生服务、学生安全结合起来，坚持抓常规、抓细节、抓养成，保证学生学习生活秩序安全稳定。一是深化半军事化管理，不断拓展管理覆盖面。建立了学生综合素质月度评价、学期评价、毕业评价制度，强化了评价的过程控制。二是加强德育队伍建设。建立由学校吴莹老师带头的“名班主任工作室”。同时学校还进一步加强德育队伍建设，健全班主任岗位职责、工作条例、班主任工作量化考评激励机制，完善了政工例会和班主任例会制度。三是建立家长委员会，建立了家长学校学生QQ群和校讯通，全学期发送各类家庭教育短信1300多条。四是加强心理健康教育。通过学生团体辅导、集体讲座、知识竞赛等多种形式，普及心理健康知识，做好学生心理咨询工作，提升学生心理健康意识，关注特殊学生成长，各专业部均成立了特殊学生帮扶工作小组，确保不抛弃、不放弃一名学生。五是抓好学生安全工作。学生科、各专业部、后勤科，齐心协力，群防群治，共同做好学生安全工作。做好重点部位、重点时段的防控工作。加大矛盾排查和值班巡查力度，防止各类事件发生。</w:t>
      </w:r>
    </w:p>
    <w:p>
      <w:pPr>
        <w:pStyle w:val="4"/>
      </w:pPr>
      <w:bookmarkStart w:id="145" w:name="_Toc29995161"/>
      <w:bookmarkStart w:id="146" w:name="_Toc505003812"/>
      <w:r>
        <w:rPr>
          <w:rFonts w:hint="eastAsia"/>
        </w:rPr>
        <w:t>3.4.3财务运行规范有序</w:t>
      </w:r>
      <w:bookmarkEnd w:id="145"/>
      <w:bookmarkEnd w:id="146"/>
    </w:p>
    <w:p>
      <w:pPr>
        <w:ind w:firstLine="480"/>
      </w:pPr>
      <w:r>
        <w:rPr>
          <w:rFonts w:hint="eastAsia"/>
        </w:rPr>
        <w:t>学校严格按照省市物价部门和教育行政部门规定的收费项目和标准亮证收费，执行收费许可证制度，所收费用全部按规定纳入学校的办学经费渠道进行规范管理。学校的经费收支项目每学期在公示栏进行公示。建立健全财务管理制度，认真制定并执行学校财务计划，分清资金渠道，合理使用资金。严格掌握费用开支范围和开支标准，执行财务支出专人审批制度。经费开支实行民主管理，遵守国家财经制度和财经纪律，按上级财政部门的要求使用经费，并接受上级财务和审计部门的监督。财务运行做到用款有计划，收支有标准，分析有资料，监督有要求。</w:t>
      </w:r>
    </w:p>
    <w:p>
      <w:pPr>
        <w:pStyle w:val="4"/>
      </w:pPr>
      <w:bookmarkStart w:id="147" w:name="_Toc505003813"/>
      <w:bookmarkStart w:id="148" w:name="_Toc29995162"/>
      <w:r>
        <w:rPr>
          <w:rFonts w:hint="eastAsia"/>
        </w:rPr>
        <w:t>3.4.4后勤管理服务有保障</w:t>
      </w:r>
      <w:bookmarkEnd w:id="147"/>
      <w:bookmarkEnd w:id="148"/>
    </w:p>
    <w:p>
      <w:pPr>
        <w:widowControl/>
        <w:shd w:val="clear" w:color="auto" w:fill="FFFFFF"/>
        <w:spacing w:before="120" w:after="120"/>
        <w:ind w:firstLine="480"/>
        <w:jc w:val="left"/>
        <w:rPr>
          <w:rFonts w:ascii="仿宋_GB2312" w:eastAsia="仿宋_GB2312"/>
        </w:rPr>
      </w:pPr>
      <w:r>
        <w:rPr>
          <w:rFonts w:hint="eastAsia"/>
        </w:rPr>
        <w:t>一是我校后勤科及时做好各类创建、迎评资料的整理与现场准备；按照规范程序完成各类专项资金、年度预算资金的政府采购工作；及时维修教室宿舍水电设施、办公桌椅等各类公用设施；根据需要及时采买，保障供应各类办公用品及教学实验物资；同时，按上级要求及时完成各类材料报送与数据上报。学校后勤工作的及时到位，为学校各类项目建设提供优质服务。二是公务活动规范化。学校严格按照上级要求认真做好公务消费一体化工作，应网上备案的项目全部备案，无公务消费报警现象发生。学校严格公务消费接待管理规定的执行，接待等公务消费持续保低位运行。三是做好安全工作，特别是在食品安全和校舍管理方面也下足功夫。严格按照《食品卫生法》对食堂工作把关，做好食堂的清洁卫生工作；重视饮食安全，严格执行食品留样制度，不定期检查，杜绝食物安全隐患的出现。建设平安校园，未发生治安案件和安全事故，为教育教学提供了坚实保障。</w:t>
      </w:r>
    </w:p>
    <w:p>
      <w:pPr>
        <w:pStyle w:val="4"/>
      </w:pPr>
      <w:bookmarkStart w:id="149" w:name="_Toc505003814"/>
      <w:bookmarkStart w:id="150" w:name="_Toc29995163"/>
      <w:r>
        <w:rPr>
          <w:rFonts w:hint="eastAsia"/>
        </w:rPr>
        <w:t>3.4.5注重安全教育</w:t>
      </w:r>
      <w:bookmarkEnd w:id="149"/>
      <w:bookmarkEnd w:id="150"/>
    </w:p>
    <w:p>
      <w:pPr>
        <w:widowControl/>
        <w:ind w:firstLine="480"/>
      </w:pPr>
      <w:r>
        <w:rPr>
          <w:rFonts w:hint="eastAsia"/>
        </w:rPr>
        <w:t>学校坚持“常防不懈”的安全稳定工作原则，制定了《揭阳捷和职业技术学校安全制度》，开展形式多样的主题教育活动，如防灾减灾日、全国中小学生安全教育日、防溺水、安全生产月、食品安全宣传周、“校园十排十查”等活动。在迎接多部门开展的安全工作大检查活动中，我校安全工作获充分肯定。学校进一步强化依法治校和综合治理工作意识，学校先后组织开展了法治教育宣传、国家安全、抵制校园欺凌、禁毒图片展、观看禁毒影片等专题教育活动，师生违法犯罪率为零。学校通过了广东省依法治校示范校评估验收，获得 “广东省安全文明校园” 和“揭阳市平安校园”等荣誉。</w:t>
      </w:r>
    </w:p>
    <w:p>
      <w:pPr>
        <w:pStyle w:val="4"/>
      </w:pPr>
      <w:bookmarkStart w:id="151" w:name="_Toc29995164"/>
      <w:bookmarkStart w:id="152" w:name="_Toc505003815"/>
      <w:r>
        <w:rPr>
          <w:rFonts w:hint="eastAsia"/>
        </w:rPr>
        <w:t>3.4.6科研管理成效显著</w:t>
      </w:r>
      <w:bookmarkEnd w:id="151"/>
      <w:bookmarkEnd w:id="152"/>
    </w:p>
    <w:p>
      <w:pPr>
        <w:ind w:firstLine="480"/>
        <w:rPr>
          <w:rFonts w:ascii="宋体" w:hAnsi="宋体"/>
        </w:rPr>
      </w:pPr>
      <w:r>
        <w:rPr>
          <w:rFonts w:hint="eastAsia"/>
        </w:rPr>
        <w:t>一是积极开展教研活动。学校各教研室积极组织了公开课活动，开设校级公开课累计57节，组织50多名教师先后到广东省内外知名的中职学校参加交流，跟其他学校的教师进行研讨，开阔了教师眼界。二是参加各类竞赛。</w:t>
      </w:r>
      <w:r>
        <w:rPr>
          <w:rFonts w:hint="eastAsia" w:ascii="宋体" w:hAnsi="宋体"/>
        </w:rPr>
        <w:t>积极参加广东省教育厅关于举办第五届中国“互联网+” 大学生创新创业大赛广东省分赛，由郑文焕老师担任负责人的《“潮味游”旅行美食培训》和陈志东老师担任负责人的《“粿滋味”速食粿汁》分别参加职教赛道“互联网”+文化创意服务和 “互联网” +制造业项目。2019年6月，榕城区教育局教研室在全区开展“我与课改”征文评选活动，我校吴婷老师撰写的《我与课改共成长》参加了本次征文评选活动。组建由洪碧苑、林耿珊、陈芷婷、黄梓怡、柯文荣五位老师组成的合唱队，参加“同心齐唱中国梦 砥砺前行谱华章”——榕城区教育系统庆祝建国70周年合唱比赛。</w:t>
      </w:r>
      <w:r>
        <w:rPr>
          <w:rFonts w:hint="eastAsia"/>
        </w:rPr>
        <w:t>在第十五届全国中等职业学校“文明风采”竞赛活动中，我校取得优异成绩，二个作品获省决赛一等奖，4个作品荣获二等奖，20个作品荣获三等奖，学校荣获全省和全国优秀组织奖。在广东省技能竞赛项目，</w:t>
      </w:r>
      <w:r>
        <w:rPr>
          <w:rFonts w:hint="eastAsia" w:ascii="宋体" w:hAnsi="宋体"/>
        </w:rPr>
        <w:t>2018-2019年度广东省技能竞赛，我校参赛项目14个，两个项目最后没有完成参赛。今年总共获奖项目8个，参赛获奖率61.5%。2017—2018学年度参赛项目是20个，获奖项目6个，参赛获奖率33.3%。两年相比较，今年在参赛项目减少的情况下，参赛获奖个数和获奖率都得到很大提升。相比较去年的比赛成绩，我校今年参赛各项目成绩平均主要处于中游水平，像动漫设计与制作竞赛已经连续两年获得一等奖，成绩稳定在全省参赛学校的前十名。艺术教育成绩稳定，每年参赛均在中游或中上游水平。今年第一次参赛的出纳技能和数控综合应用技术成绩都较为不错。接下来将加紧对各项目的情况开展总结，力保明年成绩更上一个台阶</w:t>
      </w:r>
      <w:r>
        <w:rPr>
          <w:rFonts w:hint="eastAsia"/>
        </w:rPr>
        <w:t>三是学校教科研工作有健全的组织机构，有可行的保障制度和配套措施，教科研队伍阵容较大，学校制定了校本教材，致力于课题研究，其中课题《中职规范管理与人文关怀》获得广东省优秀结题，课题《中职依法治校与人文关怀的实践研究》获得省立项。</w:t>
      </w:r>
    </w:p>
    <w:p>
      <w:pPr>
        <w:pStyle w:val="4"/>
      </w:pPr>
      <w:bookmarkStart w:id="153" w:name="_Toc505003816"/>
      <w:bookmarkStart w:id="154" w:name="_Toc29995165"/>
      <w:r>
        <w:rPr>
          <w:rFonts w:hint="eastAsia"/>
        </w:rPr>
        <w:t>3.4.7加强管理队伍建设</w:t>
      </w:r>
      <w:bookmarkEnd w:id="153"/>
      <w:bookmarkEnd w:id="154"/>
    </w:p>
    <w:p>
      <w:pPr>
        <w:pStyle w:val="13"/>
        <w:shd w:val="clear" w:color="auto" w:fill="FFFFFF"/>
        <w:ind w:firstLine="480"/>
        <w:rPr>
          <w:rFonts w:ascii="仿宋_GB2312" w:eastAsia="仿宋_GB2312"/>
        </w:rPr>
      </w:pPr>
      <w:r>
        <w:rPr>
          <w:rFonts w:hint="eastAsia"/>
        </w:rPr>
        <w:t>一是加强学校领导班子建设的指导思想和总体目标。坚持“科学发展观”、“社会核心价值观”重要思想为指导，思想政治建设与组织建设、作风建设、能力建设、制度建设有机结合，通过完善目标、健全制度、规范管理、科学考评形成有效机制，全面提高领导干部的思想政治素质和领导水平，促进干部队伍建设与教育改革协调发展。二是加强队伍管理的制度建设，建立权责明晰、运转协调的干部管理运行机制，狠抓制度落实，我校定期召开行政会议，及时跟踪了解工作的进程和结果，并严格执行责任追究制度。三是加强对管理干部的专业培训工作。加强管理干部的政治理论和业务理论的教育，不断拓宽他们的知识面，提高业务能力和管理水平。定期选派管理干部参加省级和国家级的进修培训，学习先进的管理经验、管理意识、增强开拓创新的精神。</w:t>
      </w:r>
    </w:p>
    <w:p>
      <w:pPr>
        <w:pStyle w:val="4"/>
        <w:rPr>
          <w:kern w:val="0"/>
        </w:rPr>
      </w:pPr>
      <w:bookmarkStart w:id="155" w:name="_Toc29995166"/>
      <w:bookmarkStart w:id="156" w:name="_Toc505003817"/>
      <w:r>
        <w:rPr>
          <w:rFonts w:hint="eastAsia"/>
          <w:kern w:val="0"/>
        </w:rPr>
        <w:t>3.4.8重视信息化建设</w:t>
      </w:r>
      <w:bookmarkEnd w:id="155"/>
      <w:bookmarkEnd w:id="156"/>
    </w:p>
    <w:p>
      <w:pPr>
        <w:widowControl/>
        <w:ind w:firstLine="480"/>
      </w:pPr>
      <w:r>
        <w:rPr>
          <w:rFonts w:hint="eastAsia"/>
        </w:rPr>
        <w:t>学校接入互联网出口带宽580 Mbps，校园网主干最大带宽1000 Mbps，网络信息点数1800个，软件系统1个，智慧校园管理提醒1个，数据库2个。同时，完成了校园一卡通建设，实现了用户数据统一数据管理、统一认证、单点登录、安全审计的身份管理模式；开启了数字化校园平台的建设任务。校园网络现已基本形成了核心层、汇聚层及接入层三层结构。现有监控点实现了全覆盖、不间断、高质量的目标。</w:t>
      </w:r>
    </w:p>
    <w:p>
      <w:pPr>
        <w:pStyle w:val="3"/>
      </w:pPr>
      <w:bookmarkStart w:id="157" w:name="_Toc29995167"/>
      <w:bookmarkStart w:id="158" w:name="_Toc505003818"/>
      <w:r>
        <w:rPr>
          <w:rFonts w:hint="eastAsia"/>
        </w:rPr>
        <w:t>3.5德育工作情况</w:t>
      </w:r>
      <w:bookmarkEnd w:id="157"/>
      <w:bookmarkEnd w:id="158"/>
    </w:p>
    <w:p>
      <w:pPr>
        <w:pStyle w:val="4"/>
        <w:rPr>
          <w:kern w:val="0"/>
        </w:rPr>
      </w:pPr>
      <w:bookmarkStart w:id="159" w:name="_Toc505003819"/>
      <w:bookmarkStart w:id="160" w:name="_Toc29995168"/>
      <w:r>
        <w:rPr>
          <w:rFonts w:hint="eastAsia"/>
          <w:kern w:val="0"/>
        </w:rPr>
        <w:t>3.5.1德育课实施情况</w:t>
      </w:r>
      <w:bookmarkEnd w:id="159"/>
      <w:bookmarkEnd w:id="160"/>
    </w:p>
    <w:p>
      <w:pPr>
        <w:ind w:firstLine="480"/>
        <w:rPr>
          <w:kern w:val="0"/>
        </w:rPr>
      </w:pPr>
      <w:r>
        <w:rPr>
          <w:rFonts w:hint="eastAsia"/>
          <w:kern w:val="0"/>
        </w:rPr>
        <w:t>我校拥有完善的德育工作机构，组建了一支高素质的德育队伍，建立德育三级管理体制，构建科学合理的德育工作网络，形成全面育人、全程育人、全员育人的管理格局。</w:t>
      </w:r>
    </w:p>
    <w:p>
      <w:pPr>
        <w:ind w:firstLine="480"/>
        <w:rPr>
          <w:kern w:val="0"/>
        </w:rPr>
      </w:pPr>
      <w:r>
        <w:rPr>
          <w:rFonts w:hint="eastAsia"/>
          <w:kern w:val="0"/>
        </w:rPr>
        <w:t>学校规范开设德育课程，德育课能做到贴近生活、贴近实际、贴近学生，以德育课教学为主阵地，提高学生的个人修养，学生积极向上、朝气蓬勃。</w:t>
      </w:r>
    </w:p>
    <w:p>
      <w:pPr>
        <w:ind w:firstLine="480"/>
        <w:rPr>
          <w:kern w:val="0"/>
        </w:rPr>
      </w:pPr>
      <w:r>
        <w:rPr>
          <w:rFonts w:hint="eastAsia"/>
          <w:kern w:val="0"/>
        </w:rPr>
        <w:t>学校根据课程设置要求，开设了《职业生涯规划》《职业道德与法律》《哲学与人生》《经济政治与社会》《心理健康》系列课程，由德育组教师组织实施，确保有计划、有课时、有教案、有评价。教学中，德育教师积极实施学校课程改革“限时讲授、合作学习、踊跃展示”要求，学生积极参与，教学效果显著。</w:t>
      </w:r>
    </w:p>
    <w:p>
      <w:pPr>
        <w:pStyle w:val="4"/>
        <w:ind w:firstLine="643"/>
        <w:rPr>
          <w:kern w:val="0"/>
        </w:rPr>
      </w:pPr>
      <w:bookmarkStart w:id="161" w:name="_Toc29995169"/>
      <w:bookmarkStart w:id="162" w:name="_Toc505003820"/>
      <w:r>
        <w:rPr>
          <w:rFonts w:hint="eastAsia"/>
          <w:kern w:val="0"/>
        </w:rPr>
        <w:t>3.5.2校园文化建设情况</w:t>
      </w:r>
      <w:bookmarkEnd w:id="161"/>
      <w:bookmarkEnd w:id="162"/>
    </w:p>
    <w:p>
      <w:pPr>
        <w:widowControl/>
        <w:ind w:firstLine="480"/>
        <w:jc w:val="left"/>
      </w:pPr>
      <w:r>
        <w:rPr>
          <w:rFonts w:hint="eastAsia"/>
        </w:rPr>
        <w:t>学校不断加强校园文化建设，创设“时时受教育，处处受感染”的育人环境，使每一面墙壁都成为无声的语言。学校设有校园文化长廊、宣传栏、名人名言、年级墙报、班级黑板报等，向学生进行良好行为习惯的教育。通过文化展示栏、校友风采等，营造学校“尊严教育”的浓厚氛围。加强教室“十有十无”建设，有好人好事记载本，有学生自己创设的“图书角”、“学习园地”、“表扬与批评”等，创设温馨和谐的学习环境。举行文明风采竞赛活动，举办体育节，十月“爱国、爱校”演讲比赛，举行大型迎新年文艺汇演，征文比赛等，丰富学生的校园生活，培养学生积极向上的精神风貌。</w:t>
      </w:r>
    </w:p>
    <w:p>
      <w:pPr>
        <w:pStyle w:val="4"/>
        <w:rPr>
          <w:kern w:val="0"/>
        </w:rPr>
      </w:pPr>
      <w:bookmarkStart w:id="163" w:name="_Toc29995170"/>
      <w:bookmarkStart w:id="164" w:name="_Toc505003821"/>
      <w:r>
        <w:rPr>
          <w:rFonts w:hint="eastAsia"/>
          <w:kern w:val="0"/>
        </w:rPr>
        <w:t>3.5.3文明风采活动情况</w:t>
      </w:r>
      <w:bookmarkEnd w:id="163"/>
      <w:bookmarkEnd w:id="164"/>
    </w:p>
    <w:p>
      <w:pPr>
        <w:widowControl/>
        <w:ind w:firstLine="480"/>
        <w:jc w:val="left"/>
        <w:rPr>
          <w:rFonts w:hint="eastAsia"/>
        </w:rPr>
      </w:pPr>
      <w:r>
        <w:rPr>
          <w:rFonts w:hint="eastAsia"/>
        </w:rPr>
        <w:t>学校高度重视文明风采活动，积极组织参加文明风采大赛，全校文明风采初赛参赛率达100%，复赛参赛率达到35%。在2019年全国中等职业学校文明风采竞赛活动中，获奖作品达二十六个，其中一等奖2个，二等奖4个，三等奖20个，学校也获得了“优秀组织奖”的称号。具体情况如下：</w:t>
      </w:r>
    </w:p>
    <w:tbl>
      <w:tblPr>
        <w:tblStyle w:val="14"/>
        <w:tblW w:w="10915" w:type="dxa"/>
        <w:tblInd w:w="-936" w:type="dxa"/>
        <w:tblLayout w:type="autofit"/>
        <w:tblCellMar>
          <w:top w:w="0" w:type="dxa"/>
          <w:left w:w="108" w:type="dxa"/>
          <w:bottom w:w="0" w:type="dxa"/>
          <w:right w:w="108" w:type="dxa"/>
        </w:tblCellMar>
      </w:tblPr>
      <w:tblGrid>
        <w:gridCol w:w="850"/>
        <w:gridCol w:w="1985"/>
        <w:gridCol w:w="2694"/>
        <w:gridCol w:w="3543"/>
        <w:gridCol w:w="1843"/>
      </w:tblGrid>
      <w:tr>
        <w:tblPrEx>
          <w:tblCellMar>
            <w:top w:w="0" w:type="dxa"/>
            <w:left w:w="108" w:type="dxa"/>
            <w:bottom w:w="0" w:type="dxa"/>
            <w:right w:w="108" w:type="dxa"/>
          </w:tblCellMar>
        </w:tblPrEx>
        <w:trPr>
          <w:trHeight w:val="408" w:hRule="atLeast"/>
        </w:trPr>
        <w:tc>
          <w:tcPr>
            <w:tcW w:w="2835" w:type="dxa"/>
            <w:gridSpan w:val="2"/>
            <w:tcBorders>
              <w:top w:val="nil"/>
              <w:left w:val="nil"/>
              <w:bottom w:val="nil"/>
              <w:right w:val="nil"/>
            </w:tcBorders>
            <w:shd w:val="clear" w:color="auto" w:fill="auto"/>
            <w:noWrap/>
            <w:vAlign w:val="center"/>
          </w:tcPr>
          <w:p>
            <w:pPr>
              <w:widowControl/>
              <w:spacing w:line="240" w:lineRule="auto"/>
              <w:ind w:firstLine="0" w:firstLineChars="0"/>
              <w:jc w:val="left"/>
              <w:rPr>
                <w:rFonts w:ascii="黑体" w:hAnsi="黑体" w:eastAsia="黑体" w:cs="宋体"/>
                <w:color w:val="000000"/>
                <w:kern w:val="0"/>
                <w:sz w:val="32"/>
                <w:szCs w:val="32"/>
              </w:rPr>
            </w:pPr>
            <w:r>
              <w:rPr>
                <w:rFonts w:hint="eastAsia" w:ascii="黑体" w:hAnsi="黑体" w:eastAsia="黑体" w:cs="宋体"/>
                <w:color w:val="000000"/>
                <w:kern w:val="0"/>
                <w:sz w:val="32"/>
                <w:szCs w:val="32"/>
              </w:rPr>
              <w:t>一等奖</w:t>
            </w:r>
          </w:p>
        </w:tc>
        <w:tc>
          <w:tcPr>
            <w:tcW w:w="2694" w:type="dxa"/>
            <w:tcBorders>
              <w:top w:val="nil"/>
              <w:left w:val="nil"/>
              <w:bottom w:val="nil"/>
              <w:right w:val="nil"/>
            </w:tcBorders>
            <w:shd w:val="clear" w:color="auto" w:fill="auto"/>
            <w:noWrap/>
            <w:vAlign w:val="bottom"/>
          </w:tcPr>
          <w:p>
            <w:pPr>
              <w:widowControl/>
              <w:spacing w:line="240" w:lineRule="auto"/>
              <w:ind w:firstLine="0" w:firstLineChars="0"/>
              <w:jc w:val="left"/>
              <w:rPr>
                <w:rFonts w:ascii="宋体" w:hAnsi="宋体" w:cs="宋体"/>
                <w:color w:val="000000"/>
                <w:kern w:val="0"/>
                <w:sz w:val="22"/>
                <w:szCs w:val="22"/>
              </w:rPr>
            </w:pPr>
          </w:p>
        </w:tc>
        <w:tc>
          <w:tcPr>
            <w:tcW w:w="3543" w:type="dxa"/>
            <w:tcBorders>
              <w:top w:val="nil"/>
              <w:left w:val="nil"/>
              <w:bottom w:val="nil"/>
              <w:right w:val="nil"/>
            </w:tcBorders>
            <w:shd w:val="clear" w:color="auto" w:fill="auto"/>
            <w:noWrap/>
            <w:vAlign w:val="bottom"/>
          </w:tcPr>
          <w:p>
            <w:pPr>
              <w:widowControl/>
              <w:spacing w:line="240" w:lineRule="auto"/>
              <w:ind w:firstLine="0" w:firstLineChars="0"/>
              <w:jc w:val="left"/>
              <w:rPr>
                <w:rFonts w:ascii="宋体" w:hAnsi="宋体" w:cs="宋体"/>
                <w:color w:val="000000"/>
                <w:kern w:val="0"/>
                <w:sz w:val="22"/>
                <w:szCs w:val="22"/>
              </w:rPr>
            </w:pPr>
          </w:p>
        </w:tc>
        <w:tc>
          <w:tcPr>
            <w:tcW w:w="1843" w:type="dxa"/>
            <w:tcBorders>
              <w:top w:val="nil"/>
              <w:left w:val="nil"/>
              <w:bottom w:val="nil"/>
              <w:right w:val="nil"/>
            </w:tcBorders>
            <w:shd w:val="clear" w:color="auto" w:fill="auto"/>
            <w:noWrap/>
            <w:vAlign w:val="bottom"/>
          </w:tcPr>
          <w:p>
            <w:pPr>
              <w:widowControl/>
              <w:spacing w:line="240" w:lineRule="auto"/>
              <w:ind w:firstLine="0" w:firstLineChars="0"/>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312" w:hRule="atLeast"/>
        </w:trPr>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b/>
                <w:bCs/>
                <w:color w:val="000000"/>
                <w:kern w:val="0"/>
              </w:rPr>
            </w:pPr>
            <w:r>
              <w:rPr>
                <w:rFonts w:hint="eastAsia" w:ascii="宋体" w:hAnsi="宋体" w:cs="宋体"/>
                <w:b/>
                <w:bCs/>
                <w:color w:val="000000"/>
                <w:kern w:val="0"/>
              </w:rPr>
              <w:t>序号</w:t>
            </w:r>
          </w:p>
        </w:tc>
        <w:tc>
          <w:tcPr>
            <w:tcW w:w="198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b/>
                <w:bCs/>
                <w:color w:val="000000"/>
                <w:kern w:val="0"/>
                <w:sz w:val="22"/>
                <w:szCs w:val="22"/>
              </w:rPr>
            </w:pPr>
            <w:r>
              <w:rPr>
                <w:rFonts w:hint="eastAsia" w:ascii="宋体" w:hAnsi="宋体" w:cs="宋体"/>
                <w:b/>
                <w:bCs/>
                <w:color w:val="000000"/>
                <w:kern w:val="0"/>
                <w:sz w:val="22"/>
                <w:szCs w:val="22"/>
              </w:rPr>
              <w:t>类别</w:t>
            </w:r>
          </w:p>
        </w:tc>
        <w:tc>
          <w:tcPr>
            <w:tcW w:w="269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b/>
                <w:bCs/>
                <w:color w:val="000000"/>
                <w:kern w:val="0"/>
              </w:rPr>
            </w:pPr>
            <w:r>
              <w:rPr>
                <w:rFonts w:hint="eastAsia" w:ascii="宋体" w:hAnsi="宋体" w:cs="宋体"/>
                <w:b/>
                <w:bCs/>
                <w:color w:val="000000"/>
                <w:kern w:val="0"/>
              </w:rPr>
              <w:t>作品名称</w:t>
            </w:r>
          </w:p>
        </w:tc>
        <w:tc>
          <w:tcPr>
            <w:tcW w:w="354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b/>
                <w:bCs/>
                <w:color w:val="000000"/>
                <w:kern w:val="0"/>
                <w:sz w:val="22"/>
                <w:szCs w:val="22"/>
              </w:rPr>
            </w:pPr>
            <w:r>
              <w:rPr>
                <w:rFonts w:hint="eastAsia" w:ascii="宋体" w:hAnsi="宋体" w:cs="宋体"/>
                <w:b/>
                <w:bCs/>
                <w:color w:val="000000"/>
                <w:kern w:val="0"/>
                <w:sz w:val="22"/>
                <w:szCs w:val="22"/>
              </w:rPr>
              <w:t>作者姓名</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b/>
                <w:bCs/>
                <w:color w:val="000000"/>
                <w:kern w:val="0"/>
                <w:sz w:val="22"/>
                <w:szCs w:val="22"/>
              </w:rPr>
            </w:pPr>
            <w:r>
              <w:rPr>
                <w:rFonts w:hint="eastAsia" w:ascii="宋体" w:hAnsi="宋体" w:cs="宋体"/>
                <w:b/>
                <w:bCs/>
                <w:color w:val="000000"/>
                <w:kern w:val="0"/>
                <w:sz w:val="22"/>
                <w:szCs w:val="22"/>
              </w:rPr>
              <w:t>指导教师</w:t>
            </w:r>
          </w:p>
        </w:tc>
      </w:tr>
      <w:tr>
        <w:tblPrEx>
          <w:tblCellMar>
            <w:top w:w="0" w:type="dxa"/>
            <w:left w:w="108" w:type="dxa"/>
            <w:bottom w:w="0" w:type="dxa"/>
            <w:right w:w="108" w:type="dxa"/>
          </w:tblCellMar>
        </w:tblPrEx>
        <w:trPr>
          <w:trHeight w:val="312" w:hRule="atLeast"/>
        </w:trPr>
        <w:tc>
          <w:tcPr>
            <w:tcW w:w="85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rPr>
            </w:pPr>
            <w:r>
              <w:rPr>
                <w:rFonts w:hint="eastAsia" w:ascii="仿宋_GB2312" w:hAnsi="宋体" w:eastAsia="仿宋_GB2312" w:cs="宋体"/>
                <w:color w:val="000000"/>
                <w:kern w:val="0"/>
              </w:rPr>
              <w:t>320</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展览类</w:t>
            </w:r>
          </w:p>
        </w:tc>
        <w:tc>
          <w:tcPr>
            <w:tcW w:w="269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rPr>
            </w:pPr>
            <w:r>
              <w:rPr>
                <w:rFonts w:hint="eastAsia" w:ascii="仿宋_GB2312" w:hAnsi="宋体" w:eastAsia="仿宋_GB2312" w:cs="宋体"/>
                <w:color w:val="000000"/>
                <w:kern w:val="0"/>
              </w:rPr>
              <w:t>千字文</w:t>
            </w:r>
          </w:p>
        </w:tc>
        <w:tc>
          <w:tcPr>
            <w:tcW w:w="35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王泽敏</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吴榕华</w:t>
            </w:r>
          </w:p>
        </w:tc>
      </w:tr>
      <w:tr>
        <w:tblPrEx>
          <w:tblCellMar>
            <w:top w:w="0" w:type="dxa"/>
            <w:left w:w="108" w:type="dxa"/>
            <w:bottom w:w="0" w:type="dxa"/>
            <w:right w:w="108" w:type="dxa"/>
          </w:tblCellMar>
        </w:tblPrEx>
        <w:trPr>
          <w:trHeight w:val="312" w:hRule="atLeast"/>
        </w:trPr>
        <w:tc>
          <w:tcPr>
            <w:tcW w:w="85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rPr>
            </w:pPr>
            <w:r>
              <w:rPr>
                <w:rFonts w:hint="eastAsia" w:ascii="仿宋_GB2312" w:hAnsi="宋体" w:eastAsia="仿宋_GB2312" w:cs="宋体"/>
                <w:color w:val="000000"/>
                <w:kern w:val="0"/>
              </w:rPr>
              <w:t>342</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展览类</w:t>
            </w:r>
          </w:p>
        </w:tc>
        <w:tc>
          <w:tcPr>
            <w:tcW w:w="269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rPr>
            </w:pPr>
            <w:r>
              <w:rPr>
                <w:rFonts w:hint="eastAsia" w:ascii="仿宋_GB2312" w:hAnsi="宋体" w:eastAsia="仿宋_GB2312" w:cs="宋体"/>
                <w:color w:val="000000"/>
                <w:kern w:val="0"/>
              </w:rPr>
              <w:t>对立的思考着</w:t>
            </w:r>
          </w:p>
        </w:tc>
        <w:tc>
          <w:tcPr>
            <w:tcW w:w="35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袁海玲、卢丽丹</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林晓如</w:t>
            </w:r>
          </w:p>
        </w:tc>
      </w:tr>
      <w:tr>
        <w:tblPrEx>
          <w:tblCellMar>
            <w:top w:w="0" w:type="dxa"/>
            <w:left w:w="108" w:type="dxa"/>
            <w:bottom w:w="0" w:type="dxa"/>
            <w:right w:w="108" w:type="dxa"/>
          </w:tblCellMar>
        </w:tblPrEx>
        <w:trPr>
          <w:trHeight w:val="408" w:hRule="atLeast"/>
        </w:trPr>
        <w:tc>
          <w:tcPr>
            <w:tcW w:w="2835" w:type="dxa"/>
            <w:gridSpan w:val="2"/>
            <w:tcBorders>
              <w:top w:val="nil"/>
              <w:left w:val="nil"/>
              <w:bottom w:val="nil"/>
              <w:right w:val="nil"/>
            </w:tcBorders>
            <w:shd w:val="clear" w:color="auto" w:fill="auto"/>
            <w:noWrap/>
            <w:vAlign w:val="center"/>
          </w:tcPr>
          <w:p>
            <w:pPr>
              <w:widowControl/>
              <w:spacing w:line="240" w:lineRule="auto"/>
              <w:ind w:firstLine="0" w:firstLineChars="0"/>
              <w:jc w:val="left"/>
              <w:rPr>
                <w:rFonts w:ascii="黑体" w:hAnsi="黑体" w:eastAsia="黑体" w:cs="宋体"/>
                <w:color w:val="000000"/>
                <w:kern w:val="0"/>
                <w:sz w:val="32"/>
                <w:szCs w:val="32"/>
              </w:rPr>
            </w:pPr>
            <w:r>
              <w:rPr>
                <w:rFonts w:hint="eastAsia" w:ascii="黑体" w:hAnsi="黑体" w:eastAsia="黑体" w:cs="宋体"/>
                <w:color w:val="000000"/>
                <w:kern w:val="0"/>
                <w:sz w:val="32"/>
                <w:szCs w:val="32"/>
              </w:rPr>
              <w:t>二等奖</w:t>
            </w:r>
          </w:p>
        </w:tc>
        <w:tc>
          <w:tcPr>
            <w:tcW w:w="2694" w:type="dxa"/>
            <w:tcBorders>
              <w:top w:val="nil"/>
              <w:left w:val="nil"/>
              <w:bottom w:val="nil"/>
              <w:right w:val="nil"/>
            </w:tcBorders>
            <w:shd w:val="clear" w:color="auto" w:fill="auto"/>
            <w:noWrap/>
            <w:vAlign w:val="bottom"/>
          </w:tcPr>
          <w:p>
            <w:pPr>
              <w:widowControl/>
              <w:spacing w:line="240" w:lineRule="auto"/>
              <w:ind w:firstLine="0" w:firstLineChars="0"/>
              <w:jc w:val="left"/>
              <w:rPr>
                <w:rFonts w:ascii="宋体" w:hAnsi="宋体" w:cs="宋体"/>
                <w:color w:val="000000"/>
                <w:kern w:val="0"/>
                <w:sz w:val="22"/>
                <w:szCs w:val="22"/>
              </w:rPr>
            </w:pPr>
          </w:p>
        </w:tc>
        <w:tc>
          <w:tcPr>
            <w:tcW w:w="3543" w:type="dxa"/>
            <w:tcBorders>
              <w:top w:val="nil"/>
              <w:left w:val="nil"/>
              <w:bottom w:val="nil"/>
              <w:right w:val="nil"/>
            </w:tcBorders>
            <w:shd w:val="clear" w:color="auto" w:fill="auto"/>
            <w:noWrap/>
            <w:vAlign w:val="bottom"/>
          </w:tcPr>
          <w:p>
            <w:pPr>
              <w:widowControl/>
              <w:spacing w:line="240" w:lineRule="auto"/>
              <w:ind w:firstLine="0" w:firstLineChars="0"/>
              <w:jc w:val="left"/>
              <w:rPr>
                <w:rFonts w:ascii="宋体" w:hAnsi="宋体" w:cs="宋体"/>
                <w:color w:val="000000"/>
                <w:kern w:val="0"/>
                <w:sz w:val="22"/>
                <w:szCs w:val="22"/>
              </w:rPr>
            </w:pPr>
          </w:p>
        </w:tc>
        <w:tc>
          <w:tcPr>
            <w:tcW w:w="1843" w:type="dxa"/>
            <w:tcBorders>
              <w:top w:val="nil"/>
              <w:left w:val="nil"/>
              <w:bottom w:val="nil"/>
              <w:right w:val="nil"/>
            </w:tcBorders>
            <w:shd w:val="clear" w:color="auto" w:fill="auto"/>
            <w:noWrap/>
            <w:vAlign w:val="bottom"/>
          </w:tcPr>
          <w:p>
            <w:pPr>
              <w:widowControl/>
              <w:spacing w:line="240" w:lineRule="auto"/>
              <w:ind w:firstLine="0" w:firstLineChars="0"/>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312" w:hRule="atLeast"/>
        </w:trPr>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黑体" w:hAnsi="黑体" w:eastAsia="黑体" w:cs="宋体"/>
                <w:b/>
                <w:bCs/>
                <w:color w:val="000000"/>
                <w:kern w:val="0"/>
              </w:rPr>
            </w:pPr>
            <w:r>
              <w:rPr>
                <w:rFonts w:hint="eastAsia" w:ascii="黑体" w:hAnsi="黑体" w:eastAsia="黑体" w:cs="宋体"/>
                <w:b/>
                <w:bCs/>
                <w:color w:val="000000"/>
                <w:kern w:val="0"/>
              </w:rPr>
              <w:t>序号</w:t>
            </w:r>
          </w:p>
        </w:tc>
        <w:tc>
          <w:tcPr>
            <w:tcW w:w="198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黑体" w:hAnsi="黑体" w:eastAsia="黑体" w:cs="宋体"/>
                <w:b/>
                <w:bCs/>
                <w:color w:val="000000"/>
                <w:kern w:val="0"/>
                <w:sz w:val="22"/>
                <w:szCs w:val="22"/>
              </w:rPr>
            </w:pPr>
            <w:r>
              <w:rPr>
                <w:rFonts w:hint="eastAsia" w:ascii="黑体" w:hAnsi="黑体" w:eastAsia="黑体" w:cs="宋体"/>
                <w:b/>
                <w:bCs/>
                <w:color w:val="000000"/>
                <w:kern w:val="0"/>
                <w:sz w:val="22"/>
                <w:szCs w:val="22"/>
              </w:rPr>
              <w:t>类别</w:t>
            </w:r>
          </w:p>
        </w:tc>
        <w:tc>
          <w:tcPr>
            <w:tcW w:w="269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黑体" w:hAnsi="黑体" w:eastAsia="黑体" w:cs="宋体"/>
                <w:b/>
                <w:bCs/>
                <w:color w:val="000000"/>
                <w:kern w:val="0"/>
              </w:rPr>
            </w:pPr>
            <w:r>
              <w:rPr>
                <w:rFonts w:hint="eastAsia" w:ascii="黑体" w:hAnsi="黑体" w:eastAsia="黑体" w:cs="宋体"/>
                <w:b/>
                <w:bCs/>
                <w:color w:val="000000"/>
                <w:kern w:val="0"/>
              </w:rPr>
              <w:t>作品名称</w:t>
            </w:r>
          </w:p>
        </w:tc>
        <w:tc>
          <w:tcPr>
            <w:tcW w:w="354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黑体" w:hAnsi="黑体" w:eastAsia="黑体" w:cs="宋体"/>
                <w:b/>
                <w:bCs/>
                <w:color w:val="000000"/>
                <w:kern w:val="0"/>
                <w:sz w:val="22"/>
                <w:szCs w:val="22"/>
              </w:rPr>
            </w:pPr>
            <w:r>
              <w:rPr>
                <w:rFonts w:hint="eastAsia" w:ascii="黑体" w:hAnsi="黑体" w:eastAsia="黑体" w:cs="宋体"/>
                <w:b/>
                <w:bCs/>
                <w:color w:val="000000"/>
                <w:kern w:val="0"/>
                <w:sz w:val="22"/>
                <w:szCs w:val="22"/>
              </w:rPr>
              <w:t>作者姓名</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黑体" w:hAnsi="黑体" w:eastAsia="黑体" w:cs="宋体"/>
                <w:b/>
                <w:bCs/>
                <w:color w:val="000000"/>
                <w:kern w:val="0"/>
                <w:sz w:val="22"/>
                <w:szCs w:val="22"/>
              </w:rPr>
            </w:pPr>
            <w:r>
              <w:rPr>
                <w:rFonts w:hint="eastAsia" w:ascii="黑体" w:hAnsi="黑体" w:eastAsia="黑体" w:cs="宋体"/>
                <w:b/>
                <w:bCs/>
                <w:color w:val="000000"/>
                <w:kern w:val="0"/>
                <w:sz w:val="22"/>
                <w:szCs w:val="22"/>
              </w:rPr>
              <w:t>指导教师</w:t>
            </w:r>
          </w:p>
        </w:tc>
      </w:tr>
      <w:tr>
        <w:tblPrEx>
          <w:tblCellMar>
            <w:top w:w="0" w:type="dxa"/>
            <w:left w:w="108" w:type="dxa"/>
            <w:bottom w:w="0" w:type="dxa"/>
            <w:right w:w="108" w:type="dxa"/>
          </w:tblCellMar>
        </w:tblPrEx>
        <w:trPr>
          <w:trHeight w:val="288" w:hRule="atLeast"/>
        </w:trPr>
        <w:tc>
          <w:tcPr>
            <w:tcW w:w="85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209</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职业生涯规划类</w:t>
            </w:r>
          </w:p>
        </w:tc>
        <w:tc>
          <w:tcPr>
            <w:tcW w:w="269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理想的设计梦</w:t>
            </w:r>
          </w:p>
        </w:tc>
        <w:tc>
          <w:tcPr>
            <w:tcW w:w="35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朱标鑫</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林壁芬</w:t>
            </w:r>
          </w:p>
        </w:tc>
      </w:tr>
      <w:tr>
        <w:tblPrEx>
          <w:tblCellMar>
            <w:top w:w="0" w:type="dxa"/>
            <w:left w:w="108" w:type="dxa"/>
            <w:bottom w:w="0" w:type="dxa"/>
            <w:right w:w="108" w:type="dxa"/>
          </w:tblCellMar>
        </w:tblPrEx>
        <w:trPr>
          <w:trHeight w:val="288" w:hRule="atLeast"/>
        </w:trPr>
        <w:tc>
          <w:tcPr>
            <w:tcW w:w="85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462</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摄影类</w:t>
            </w:r>
          </w:p>
        </w:tc>
        <w:tc>
          <w:tcPr>
            <w:tcW w:w="269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泥塑</w:t>
            </w:r>
          </w:p>
        </w:tc>
        <w:tc>
          <w:tcPr>
            <w:tcW w:w="35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余玫汶</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刘陆壹</w:t>
            </w:r>
          </w:p>
        </w:tc>
      </w:tr>
      <w:tr>
        <w:tblPrEx>
          <w:tblCellMar>
            <w:top w:w="0" w:type="dxa"/>
            <w:left w:w="108" w:type="dxa"/>
            <w:bottom w:w="0" w:type="dxa"/>
            <w:right w:w="108" w:type="dxa"/>
          </w:tblCellMar>
        </w:tblPrEx>
        <w:trPr>
          <w:trHeight w:val="288" w:hRule="atLeast"/>
        </w:trPr>
        <w:tc>
          <w:tcPr>
            <w:tcW w:w="85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799</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展示类</w:t>
            </w:r>
          </w:p>
        </w:tc>
        <w:tc>
          <w:tcPr>
            <w:tcW w:w="269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幻想曲</w:t>
            </w:r>
          </w:p>
        </w:tc>
        <w:tc>
          <w:tcPr>
            <w:tcW w:w="35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李娅婷</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许清清</w:t>
            </w:r>
          </w:p>
        </w:tc>
      </w:tr>
      <w:tr>
        <w:tblPrEx>
          <w:tblCellMar>
            <w:top w:w="0" w:type="dxa"/>
            <w:left w:w="108" w:type="dxa"/>
            <w:bottom w:w="0" w:type="dxa"/>
            <w:right w:w="108" w:type="dxa"/>
          </w:tblCellMar>
        </w:tblPrEx>
        <w:trPr>
          <w:trHeight w:val="288" w:hRule="atLeast"/>
        </w:trPr>
        <w:tc>
          <w:tcPr>
            <w:tcW w:w="85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800</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展示类</w:t>
            </w:r>
          </w:p>
        </w:tc>
        <w:tc>
          <w:tcPr>
            <w:tcW w:w="269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荷语</w:t>
            </w:r>
          </w:p>
        </w:tc>
        <w:tc>
          <w:tcPr>
            <w:tcW w:w="35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黄燕曼等</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林茹曼 韩文芳</w:t>
            </w:r>
          </w:p>
        </w:tc>
      </w:tr>
      <w:tr>
        <w:tblPrEx>
          <w:tblCellMar>
            <w:top w:w="0" w:type="dxa"/>
            <w:left w:w="108" w:type="dxa"/>
            <w:bottom w:w="0" w:type="dxa"/>
            <w:right w:w="108" w:type="dxa"/>
          </w:tblCellMar>
        </w:tblPrEx>
        <w:trPr>
          <w:trHeight w:val="408" w:hRule="atLeast"/>
        </w:trPr>
        <w:tc>
          <w:tcPr>
            <w:tcW w:w="2835" w:type="dxa"/>
            <w:gridSpan w:val="2"/>
            <w:tcBorders>
              <w:top w:val="nil"/>
              <w:left w:val="nil"/>
              <w:bottom w:val="nil"/>
              <w:right w:val="nil"/>
            </w:tcBorders>
            <w:shd w:val="clear" w:color="auto" w:fill="auto"/>
            <w:noWrap/>
            <w:vAlign w:val="center"/>
          </w:tcPr>
          <w:p>
            <w:pPr>
              <w:widowControl/>
              <w:spacing w:line="240" w:lineRule="auto"/>
              <w:ind w:firstLine="0" w:firstLineChars="0"/>
              <w:jc w:val="left"/>
              <w:rPr>
                <w:rFonts w:ascii="黑体" w:hAnsi="黑体" w:eastAsia="黑体" w:cs="宋体"/>
                <w:color w:val="000000"/>
                <w:kern w:val="0"/>
                <w:sz w:val="32"/>
                <w:szCs w:val="32"/>
              </w:rPr>
            </w:pPr>
            <w:r>
              <w:rPr>
                <w:rFonts w:hint="eastAsia" w:ascii="黑体" w:hAnsi="黑体" w:eastAsia="黑体" w:cs="宋体"/>
                <w:color w:val="000000"/>
                <w:kern w:val="0"/>
                <w:sz w:val="32"/>
                <w:szCs w:val="32"/>
              </w:rPr>
              <w:t>三等奖</w:t>
            </w:r>
          </w:p>
        </w:tc>
        <w:tc>
          <w:tcPr>
            <w:tcW w:w="2694" w:type="dxa"/>
            <w:tcBorders>
              <w:top w:val="nil"/>
              <w:left w:val="nil"/>
              <w:bottom w:val="nil"/>
              <w:right w:val="nil"/>
            </w:tcBorders>
            <w:shd w:val="clear" w:color="auto" w:fill="auto"/>
            <w:noWrap/>
            <w:vAlign w:val="bottom"/>
          </w:tcPr>
          <w:p>
            <w:pPr>
              <w:widowControl/>
              <w:spacing w:line="240" w:lineRule="auto"/>
              <w:ind w:firstLine="0" w:firstLineChars="0"/>
              <w:jc w:val="left"/>
              <w:rPr>
                <w:rFonts w:ascii="宋体" w:hAnsi="宋体" w:cs="宋体"/>
                <w:color w:val="000000"/>
                <w:kern w:val="0"/>
                <w:sz w:val="22"/>
                <w:szCs w:val="22"/>
              </w:rPr>
            </w:pPr>
          </w:p>
        </w:tc>
        <w:tc>
          <w:tcPr>
            <w:tcW w:w="3543" w:type="dxa"/>
            <w:tcBorders>
              <w:top w:val="nil"/>
              <w:left w:val="nil"/>
              <w:bottom w:val="nil"/>
              <w:right w:val="nil"/>
            </w:tcBorders>
            <w:shd w:val="clear" w:color="auto" w:fill="auto"/>
            <w:noWrap/>
            <w:vAlign w:val="bottom"/>
          </w:tcPr>
          <w:p>
            <w:pPr>
              <w:widowControl/>
              <w:spacing w:line="240" w:lineRule="auto"/>
              <w:ind w:firstLine="0" w:firstLineChars="0"/>
              <w:jc w:val="left"/>
              <w:rPr>
                <w:rFonts w:ascii="宋体" w:hAnsi="宋体" w:cs="宋体"/>
                <w:color w:val="000000"/>
                <w:kern w:val="0"/>
                <w:sz w:val="22"/>
                <w:szCs w:val="22"/>
              </w:rPr>
            </w:pPr>
          </w:p>
        </w:tc>
        <w:tc>
          <w:tcPr>
            <w:tcW w:w="1843" w:type="dxa"/>
            <w:tcBorders>
              <w:top w:val="nil"/>
              <w:left w:val="nil"/>
              <w:bottom w:val="nil"/>
              <w:right w:val="nil"/>
            </w:tcBorders>
            <w:shd w:val="clear" w:color="auto" w:fill="auto"/>
            <w:noWrap/>
            <w:vAlign w:val="bottom"/>
          </w:tcPr>
          <w:p>
            <w:pPr>
              <w:widowControl/>
              <w:spacing w:line="240" w:lineRule="auto"/>
              <w:ind w:firstLine="0" w:firstLineChars="0"/>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312" w:hRule="atLeast"/>
        </w:trPr>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黑体" w:hAnsi="黑体" w:eastAsia="黑体" w:cs="宋体"/>
                <w:b/>
                <w:bCs/>
                <w:color w:val="000000"/>
                <w:kern w:val="0"/>
              </w:rPr>
            </w:pPr>
            <w:r>
              <w:rPr>
                <w:rFonts w:hint="eastAsia" w:ascii="黑体" w:hAnsi="黑体" w:eastAsia="黑体" w:cs="宋体"/>
                <w:b/>
                <w:bCs/>
                <w:color w:val="000000"/>
                <w:kern w:val="0"/>
              </w:rPr>
              <w:t>序号</w:t>
            </w:r>
          </w:p>
        </w:tc>
        <w:tc>
          <w:tcPr>
            <w:tcW w:w="198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黑体" w:hAnsi="黑体" w:eastAsia="黑体" w:cs="宋体"/>
                <w:b/>
                <w:bCs/>
                <w:color w:val="000000"/>
                <w:kern w:val="0"/>
                <w:sz w:val="22"/>
                <w:szCs w:val="22"/>
              </w:rPr>
            </w:pPr>
            <w:r>
              <w:rPr>
                <w:rFonts w:hint="eastAsia" w:ascii="黑体" w:hAnsi="黑体" w:eastAsia="黑体" w:cs="宋体"/>
                <w:b/>
                <w:bCs/>
                <w:color w:val="000000"/>
                <w:kern w:val="0"/>
                <w:sz w:val="22"/>
                <w:szCs w:val="22"/>
              </w:rPr>
              <w:t>类别</w:t>
            </w:r>
          </w:p>
        </w:tc>
        <w:tc>
          <w:tcPr>
            <w:tcW w:w="269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黑体" w:hAnsi="黑体" w:eastAsia="黑体" w:cs="宋体"/>
                <w:b/>
                <w:bCs/>
                <w:color w:val="000000"/>
                <w:kern w:val="0"/>
              </w:rPr>
            </w:pPr>
            <w:r>
              <w:rPr>
                <w:rFonts w:hint="eastAsia" w:ascii="黑体" w:hAnsi="黑体" w:eastAsia="黑体" w:cs="宋体"/>
                <w:b/>
                <w:bCs/>
                <w:color w:val="000000"/>
                <w:kern w:val="0"/>
              </w:rPr>
              <w:t>作品名称</w:t>
            </w:r>
          </w:p>
        </w:tc>
        <w:tc>
          <w:tcPr>
            <w:tcW w:w="354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黑体" w:hAnsi="黑体" w:eastAsia="黑体" w:cs="宋体"/>
                <w:b/>
                <w:bCs/>
                <w:color w:val="000000"/>
                <w:kern w:val="0"/>
                <w:sz w:val="22"/>
                <w:szCs w:val="22"/>
              </w:rPr>
            </w:pPr>
            <w:r>
              <w:rPr>
                <w:rFonts w:hint="eastAsia" w:ascii="黑体" w:hAnsi="黑体" w:eastAsia="黑体" w:cs="宋体"/>
                <w:b/>
                <w:bCs/>
                <w:color w:val="000000"/>
                <w:kern w:val="0"/>
                <w:sz w:val="22"/>
                <w:szCs w:val="22"/>
              </w:rPr>
              <w:t>作者姓名</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黑体" w:hAnsi="黑体" w:eastAsia="黑体" w:cs="宋体"/>
                <w:b/>
                <w:bCs/>
                <w:color w:val="000000"/>
                <w:kern w:val="0"/>
                <w:sz w:val="22"/>
                <w:szCs w:val="22"/>
              </w:rPr>
            </w:pPr>
            <w:r>
              <w:rPr>
                <w:rFonts w:hint="eastAsia" w:ascii="黑体" w:hAnsi="黑体" w:eastAsia="黑体" w:cs="宋体"/>
                <w:b/>
                <w:bCs/>
                <w:color w:val="000000"/>
                <w:kern w:val="0"/>
                <w:sz w:val="22"/>
                <w:szCs w:val="22"/>
              </w:rPr>
              <w:t>指导教师</w:t>
            </w:r>
          </w:p>
        </w:tc>
      </w:tr>
      <w:tr>
        <w:tblPrEx>
          <w:tblCellMar>
            <w:top w:w="0" w:type="dxa"/>
            <w:left w:w="108" w:type="dxa"/>
            <w:bottom w:w="0" w:type="dxa"/>
            <w:right w:w="108" w:type="dxa"/>
          </w:tblCellMar>
        </w:tblPrEx>
        <w:trPr>
          <w:trHeight w:val="288" w:hRule="atLeast"/>
        </w:trPr>
        <w:tc>
          <w:tcPr>
            <w:tcW w:w="85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97</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征文演讲类</w:t>
            </w:r>
          </w:p>
        </w:tc>
        <w:tc>
          <w:tcPr>
            <w:tcW w:w="269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中国少年铸魂梦</w:t>
            </w:r>
          </w:p>
        </w:tc>
        <w:tc>
          <w:tcPr>
            <w:tcW w:w="35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缪怡娜</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何卓瑜</w:t>
            </w:r>
          </w:p>
        </w:tc>
      </w:tr>
      <w:tr>
        <w:tblPrEx>
          <w:tblCellMar>
            <w:top w:w="0" w:type="dxa"/>
            <w:left w:w="108" w:type="dxa"/>
            <w:bottom w:w="0" w:type="dxa"/>
            <w:right w:w="108" w:type="dxa"/>
          </w:tblCellMar>
        </w:tblPrEx>
        <w:trPr>
          <w:trHeight w:val="288" w:hRule="atLeast"/>
        </w:trPr>
        <w:tc>
          <w:tcPr>
            <w:tcW w:w="85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98</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征文演讲类</w:t>
            </w:r>
          </w:p>
        </w:tc>
        <w:tc>
          <w:tcPr>
            <w:tcW w:w="269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匠心精神，灵魂的支柱</w:t>
            </w:r>
          </w:p>
        </w:tc>
        <w:tc>
          <w:tcPr>
            <w:tcW w:w="35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缪子怡</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何卓瑜</w:t>
            </w:r>
          </w:p>
        </w:tc>
      </w:tr>
      <w:tr>
        <w:tblPrEx>
          <w:tblCellMar>
            <w:top w:w="0" w:type="dxa"/>
            <w:left w:w="108" w:type="dxa"/>
            <w:bottom w:w="0" w:type="dxa"/>
            <w:right w:w="108" w:type="dxa"/>
          </w:tblCellMar>
        </w:tblPrEx>
        <w:trPr>
          <w:trHeight w:val="288" w:hRule="atLeast"/>
        </w:trPr>
        <w:tc>
          <w:tcPr>
            <w:tcW w:w="85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99</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征文演讲类</w:t>
            </w:r>
          </w:p>
        </w:tc>
        <w:tc>
          <w:tcPr>
            <w:tcW w:w="269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我们在铸魂中成长</w:t>
            </w:r>
          </w:p>
        </w:tc>
        <w:tc>
          <w:tcPr>
            <w:tcW w:w="35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彭鑫</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林育芬</w:t>
            </w:r>
          </w:p>
        </w:tc>
      </w:tr>
      <w:tr>
        <w:tblPrEx>
          <w:tblCellMar>
            <w:top w:w="0" w:type="dxa"/>
            <w:left w:w="108" w:type="dxa"/>
            <w:bottom w:w="0" w:type="dxa"/>
            <w:right w:w="108" w:type="dxa"/>
          </w:tblCellMar>
        </w:tblPrEx>
        <w:trPr>
          <w:trHeight w:val="288" w:hRule="atLeast"/>
        </w:trPr>
        <w:tc>
          <w:tcPr>
            <w:tcW w:w="85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100</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征文演讲类</w:t>
            </w:r>
          </w:p>
        </w:tc>
        <w:tc>
          <w:tcPr>
            <w:tcW w:w="269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不忘初心，为铸师魂</w:t>
            </w:r>
          </w:p>
        </w:tc>
        <w:tc>
          <w:tcPr>
            <w:tcW w:w="35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袁海玲</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何郁群</w:t>
            </w:r>
          </w:p>
        </w:tc>
      </w:tr>
      <w:tr>
        <w:tblPrEx>
          <w:tblCellMar>
            <w:top w:w="0" w:type="dxa"/>
            <w:left w:w="108" w:type="dxa"/>
            <w:bottom w:w="0" w:type="dxa"/>
            <w:right w:w="108" w:type="dxa"/>
          </w:tblCellMar>
        </w:tblPrEx>
        <w:trPr>
          <w:trHeight w:val="288" w:hRule="atLeast"/>
        </w:trPr>
        <w:tc>
          <w:tcPr>
            <w:tcW w:w="85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513</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职业生涯规划类</w:t>
            </w:r>
          </w:p>
        </w:tc>
        <w:tc>
          <w:tcPr>
            <w:tcW w:w="269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未来人生，实现梦想</w:t>
            </w:r>
          </w:p>
        </w:tc>
        <w:tc>
          <w:tcPr>
            <w:tcW w:w="35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何泽安</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李妙霞</w:t>
            </w:r>
          </w:p>
        </w:tc>
      </w:tr>
      <w:tr>
        <w:tblPrEx>
          <w:tblCellMar>
            <w:top w:w="0" w:type="dxa"/>
            <w:left w:w="108" w:type="dxa"/>
            <w:bottom w:w="0" w:type="dxa"/>
            <w:right w:w="108" w:type="dxa"/>
          </w:tblCellMar>
        </w:tblPrEx>
        <w:trPr>
          <w:trHeight w:val="288" w:hRule="atLeast"/>
        </w:trPr>
        <w:tc>
          <w:tcPr>
            <w:tcW w:w="85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514</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职业生涯规划类</w:t>
            </w:r>
          </w:p>
        </w:tc>
        <w:tc>
          <w:tcPr>
            <w:tcW w:w="269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青春筑梦，砥砺前行</w:t>
            </w:r>
          </w:p>
        </w:tc>
        <w:tc>
          <w:tcPr>
            <w:tcW w:w="35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林满鑫</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李妙霞</w:t>
            </w:r>
          </w:p>
        </w:tc>
      </w:tr>
      <w:tr>
        <w:tblPrEx>
          <w:tblCellMar>
            <w:top w:w="0" w:type="dxa"/>
            <w:left w:w="108" w:type="dxa"/>
            <w:bottom w:w="0" w:type="dxa"/>
            <w:right w:w="108" w:type="dxa"/>
          </w:tblCellMar>
        </w:tblPrEx>
        <w:trPr>
          <w:trHeight w:val="288" w:hRule="atLeast"/>
        </w:trPr>
        <w:tc>
          <w:tcPr>
            <w:tcW w:w="85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515</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职业生涯规划类</w:t>
            </w:r>
          </w:p>
        </w:tc>
        <w:tc>
          <w:tcPr>
            <w:tcW w:w="269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筑梦</w:t>
            </w:r>
          </w:p>
        </w:tc>
        <w:tc>
          <w:tcPr>
            <w:tcW w:w="35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林</w:t>
            </w:r>
            <w:r>
              <w:rPr>
                <w:rFonts w:hint="eastAsia" w:ascii="宋体" w:hAnsi="宋体" w:cs="宋体"/>
                <w:color w:val="000000"/>
                <w:kern w:val="0"/>
                <w:sz w:val="22"/>
                <w:szCs w:val="22"/>
              </w:rPr>
              <w:t>湧</w:t>
            </w:r>
            <w:r>
              <w:rPr>
                <w:rFonts w:hint="eastAsia" w:ascii="仿宋_GB2312" w:hAnsi="宋体" w:eastAsia="仿宋_GB2312" w:cs="宋体"/>
                <w:color w:val="000000"/>
                <w:kern w:val="0"/>
                <w:sz w:val="22"/>
                <w:szCs w:val="22"/>
              </w:rPr>
              <w:t>涛</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陈尔敏</w:t>
            </w:r>
          </w:p>
        </w:tc>
      </w:tr>
      <w:tr>
        <w:tblPrEx>
          <w:tblCellMar>
            <w:top w:w="0" w:type="dxa"/>
            <w:left w:w="108" w:type="dxa"/>
            <w:bottom w:w="0" w:type="dxa"/>
            <w:right w:w="108" w:type="dxa"/>
          </w:tblCellMar>
        </w:tblPrEx>
        <w:trPr>
          <w:trHeight w:val="288" w:hRule="atLeast"/>
        </w:trPr>
        <w:tc>
          <w:tcPr>
            <w:tcW w:w="85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960</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摄影类</w:t>
            </w:r>
          </w:p>
        </w:tc>
        <w:tc>
          <w:tcPr>
            <w:tcW w:w="269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净和春</w:t>
            </w:r>
          </w:p>
        </w:tc>
        <w:tc>
          <w:tcPr>
            <w:tcW w:w="35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吴秀文</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官丽萍</w:t>
            </w:r>
          </w:p>
        </w:tc>
      </w:tr>
      <w:tr>
        <w:tblPrEx>
          <w:tblCellMar>
            <w:top w:w="0" w:type="dxa"/>
            <w:left w:w="108" w:type="dxa"/>
            <w:bottom w:w="0" w:type="dxa"/>
            <w:right w:w="108" w:type="dxa"/>
          </w:tblCellMar>
        </w:tblPrEx>
        <w:trPr>
          <w:trHeight w:val="288" w:hRule="atLeast"/>
        </w:trPr>
        <w:tc>
          <w:tcPr>
            <w:tcW w:w="85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961</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摄影类</w:t>
            </w:r>
          </w:p>
        </w:tc>
        <w:tc>
          <w:tcPr>
            <w:tcW w:w="269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金黄的树</w:t>
            </w:r>
          </w:p>
        </w:tc>
        <w:tc>
          <w:tcPr>
            <w:tcW w:w="35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黄锦欢</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郑文焕</w:t>
            </w:r>
          </w:p>
        </w:tc>
      </w:tr>
      <w:tr>
        <w:tblPrEx>
          <w:tblCellMar>
            <w:top w:w="0" w:type="dxa"/>
            <w:left w:w="108" w:type="dxa"/>
            <w:bottom w:w="0" w:type="dxa"/>
            <w:right w:w="108" w:type="dxa"/>
          </w:tblCellMar>
        </w:tblPrEx>
        <w:trPr>
          <w:trHeight w:val="288" w:hRule="atLeast"/>
        </w:trPr>
        <w:tc>
          <w:tcPr>
            <w:tcW w:w="85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962</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摄影类</w:t>
            </w:r>
          </w:p>
        </w:tc>
        <w:tc>
          <w:tcPr>
            <w:tcW w:w="269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木雕</w:t>
            </w:r>
          </w:p>
        </w:tc>
        <w:tc>
          <w:tcPr>
            <w:tcW w:w="35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余玫汶</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洪四崧</w:t>
            </w:r>
          </w:p>
        </w:tc>
      </w:tr>
      <w:tr>
        <w:tblPrEx>
          <w:tblCellMar>
            <w:top w:w="0" w:type="dxa"/>
            <w:left w:w="108" w:type="dxa"/>
            <w:bottom w:w="0" w:type="dxa"/>
            <w:right w:w="108" w:type="dxa"/>
          </w:tblCellMar>
        </w:tblPrEx>
        <w:trPr>
          <w:trHeight w:val="288" w:hRule="atLeast"/>
        </w:trPr>
        <w:tc>
          <w:tcPr>
            <w:tcW w:w="85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963</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摄影类</w:t>
            </w:r>
          </w:p>
        </w:tc>
        <w:tc>
          <w:tcPr>
            <w:tcW w:w="269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整装待发</w:t>
            </w:r>
          </w:p>
        </w:tc>
        <w:tc>
          <w:tcPr>
            <w:tcW w:w="35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陈烁琳</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官丽萍</w:t>
            </w:r>
          </w:p>
        </w:tc>
      </w:tr>
      <w:tr>
        <w:tblPrEx>
          <w:tblCellMar>
            <w:top w:w="0" w:type="dxa"/>
            <w:left w:w="108" w:type="dxa"/>
            <w:bottom w:w="0" w:type="dxa"/>
            <w:right w:w="108" w:type="dxa"/>
          </w:tblCellMar>
        </w:tblPrEx>
        <w:trPr>
          <w:trHeight w:val="288" w:hRule="atLeast"/>
        </w:trPr>
        <w:tc>
          <w:tcPr>
            <w:tcW w:w="85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964</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摄影类</w:t>
            </w:r>
          </w:p>
        </w:tc>
        <w:tc>
          <w:tcPr>
            <w:tcW w:w="269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幕后</w:t>
            </w:r>
          </w:p>
        </w:tc>
        <w:tc>
          <w:tcPr>
            <w:tcW w:w="35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陈烁琳</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官丽萍</w:t>
            </w:r>
          </w:p>
        </w:tc>
      </w:tr>
      <w:tr>
        <w:tblPrEx>
          <w:tblCellMar>
            <w:top w:w="0" w:type="dxa"/>
            <w:left w:w="108" w:type="dxa"/>
            <w:bottom w:w="0" w:type="dxa"/>
            <w:right w:w="108" w:type="dxa"/>
          </w:tblCellMar>
        </w:tblPrEx>
        <w:trPr>
          <w:trHeight w:val="288" w:hRule="atLeast"/>
        </w:trPr>
        <w:tc>
          <w:tcPr>
            <w:tcW w:w="85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1321</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视频类</w:t>
            </w:r>
          </w:p>
        </w:tc>
        <w:tc>
          <w:tcPr>
            <w:tcW w:w="269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中职风采</w:t>
            </w:r>
          </w:p>
        </w:tc>
        <w:tc>
          <w:tcPr>
            <w:tcW w:w="35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陈彦帆</w:t>
            </w:r>
            <w:r>
              <w:rPr>
                <w:rFonts w:hint="eastAsia" w:ascii="宋体" w:hAnsi="宋体" w:cs="宋体"/>
                <w:color w:val="000000"/>
                <w:kern w:val="0"/>
                <w:sz w:val="22"/>
                <w:szCs w:val="22"/>
              </w:rPr>
              <w:t> </w:t>
            </w:r>
            <w:r>
              <w:rPr>
                <w:rFonts w:hint="eastAsia" w:ascii="仿宋_GB2312" w:hAnsi="宋体" w:eastAsia="仿宋_GB2312" w:cs="宋体"/>
                <w:color w:val="000000"/>
                <w:kern w:val="0"/>
                <w:sz w:val="22"/>
                <w:szCs w:val="22"/>
              </w:rPr>
              <w:t>、林桂心、吴晓强</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周婉</w:t>
            </w:r>
          </w:p>
        </w:tc>
      </w:tr>
      <w:tr>
        <w:tblPrEx>
          <w:tblCellMar>
            <w:top w:w="0" w:type="dxa"/>
            <w:left w:w="108" w:type="dxa"/>
            <w:bottom w:w="0" w:type="dxa"/>
            <w:right w:w="108" w:type="dxa"/>
          </w:tblCellMar>
        </w:tblPrEx>
        <w:trPr>
          <w:trHeight w:val="288" w:hRule="atLeast"/>
        </w:trPr>
        <w:tc>
          <w:tcPr>
            <w:tcW w:w="85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1322</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视频类</w:t>
            </w:r>
          </w:p>
        </w:tc>
        <w:tc>
          <w:tcPr>
            <w:tcW w:w="269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鸟儿立花丛</w:t>
            </w:r>
          </w:p>
        </w:tc>
        <w:tc>
          <w:tcPr>
            <w:tcW w:w="35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彭志达</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郑文焕</w:t>
            </w:r>
          </w:p>
        </w:tc>
      </w:tr>
      <w:tr>
        <w:tblPrEx>
          <w:tblCellMar>
            <w:top w:w="0" w:type="dxa"/>
            <w:left w:w="108" w:type="dxa"/>
            <w:bottom w:w="0" w:type="dxa"/>
            <w:right w:w="108" w:type="dxa"/>
          </w:tblCellMar>
        </w:tblPrEx>
        <w:trPr>
          <w:trHeight w:val="288" w:hRule="atLeast"/>
        </w:trPr>
        <w:tc>
          <w:tcPr>
            <w:tcW w:w="85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1551</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展示类</w:t>
            </w:r>
          </w:p>
        </w:tc>
        <w:tc>
          <w:tcPr>
            <w:tcW w:w="269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kinjabang</w:t>
            </w:r>
          </w:p>
        </w:tc>
        <w:tc>
          <w:tcPr>
            <w:tcW w:w="35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Keep style街舞社</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李东琪</w:t>
            </w:r>
          </w:p>
        </w:tc>
      </w:tr>
      <w:tr>
        <w:tblPrEx>
          <w:tblCellMar>
            <w:top w:w="0" w:type="dxa"/>
            <w:left w:w="108" w:type="dxa"/>
            <w:bottom w:w="0" w:type="dxa"/>
            <w:right w:w="108" w:type="dxa"/>
          </w:tblCellMar>
        </w:tblPrEx>
        <w:trPr>
          <w:trHeight w:val="288" w:hRule="atLeast"/>
        </w:trPr>
        <w:tc>
          <w:tcPr>
            <w:tcW w:w="85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1552</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展示类</w:t>
            </w:r>
          </w:p>
        </w:tc>
        <w:tc>
          <w:tcPr>
            <w:tcW w:w="269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狮醒东方</w:t>
            </w:r>
          </w:p>
        </w:tc>
        <w:tc>
          <w:tcPr>
            <w:tcW w:w="35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陈彬等</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黄佳楠 林浩</w:t>
            </w:r>
          </w:p>
        </w:tc>
      </w:tr>
      <w:tr>
        <w:tblPrEx>
          <w:tblCellMar>
            <w:top w:w="0" w:type="dxa"/>
            <w:left w:w="108" w:type="dxa"/>
            <w:bottom w:w="0" w:type="dxa"/>
            <w:right w:w="108" w:type="dxa"/>
          </w:tblCellMar>
        </w:tblPrEx>
        <w:trPr>
          <w:trHeight w:val="288" w:hRule="atLeast"/>
        </w:trPr>
        <w:tc>
          <w:tcPr>
            <w:tcW w:w="85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1553</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展示类</w:t>
            </w:r>
          </w:p>
        </w:tc>
        <w:tc>
          <w:tcPr>
            <w:tcW w:w="269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盛世腾飞</w:t>
            </w:r>
          </w:p>
        </w:tc>
        <w:tc>
          <w:tcPr>
            <w:tcW w:w="35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2016级学前教育 古筝社 龙狮社</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何舒畅 洪碧苑</w:t>
            </w:r>
          </w:p>
        </w:tc>
      </w:tr>
      <w:tr>
        <w:tblPrEx>
          <w:tblCellMar>
            <w:top w:w="0" w:type="dxa"/>
            <w:left w:w="108" w:type="dxa"/>
            <w:bottom w:w="0" w:type="dxa"/>
            <w:right w:w="108" w:type="dxa"/>
          </w:tblCellMar>
        </w:tblPrEx>
        <w:trPr>
          <w:trHeight w:val="288" w:hRule="atLeast"/>
        </w:trPr>
        <w:tc>
          <w:tcPr>
            <w:tcW w:w="85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1554</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展示类</w:t>
            </w:r>
          </w:p>
        </w:tc>
        <w:tc>
          <w:tcPr>
            <w:tcW w:w="269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未度其德度其心</w:t>
            </w:r>
          </w:p>
        </w:tc>
        <w:tc>
          <w:tcPr>
            <w:tcW w:w="35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吴沛虹</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黄海青 曾骅</w:t>
            </w:r>
          </w:p>
        </w:tc>
      </w:tr>
      <w:tr>
        <w:tblPrEx>
          <w:tblCellMar>
            <w:top w:w="0" w:type="dxa"/>
            <w:left w:w="108" w:type="dxa"/>
            <w:bottom w:w="0" w:type="dxa"/>
            <w:right w:w="108" w:type="dxa"/>
          </w:tblCellMar>
        </w:tblPrEx>
        <w:trPr>
          <w:trHeight w:val="288" w:hRule="atLeast"/>
        </w:trPr>
        <w:tc>
          <w:tcPr>
            <w:tcW w:w="85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1555</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展示类</w:t>
            </w:r>
          </w:p>
        </w:tc>
        <w:tc>
          <w:tcPr>
            <w:tcW w:w="269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中华颂</w:t>
            </w:r>
          </w:p>
        </w:tc>
        <w:tc>
          <w:tcPr>
            <w:tcW w:w="35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王润超等</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林壁芬</w:t>
            </w:r>
          </w:p>
        </w:tc>
      </w:tr>
      <w:tr>
        <w:tblPrEx>
          <w:tblCellMar>
            <w:top w:w="0" w:type="dxa"/>
            <w:left w:w="108" w:type="dxa"/>
            <w:bottom w:w="0" w:type="dxa"/>
            <w:right w:w="108" w:type="dxa"/>
          </w:tblCellMar>
        </w:tblPrEx>
        <w:trPr>
          <w:trHeight w:val="288" w:hRule="atLeast"/>
        </w:trPr>
        <w:tc>
          <w:tcPr>
            <w:tcW w:w="85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1909</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展览类</w:t>
            </w:r>
          </w:p>
        </w:tc>
        <w:tc>
          <w:tcPr>
            <w:tcW w:w="269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青狮</w:t>
            </w:r>
          </w:p>
        </w:tc>
        <w:tc>
          <w:tcPr>
            <w:tcW w:w="35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张晓蔓</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朱旭彬</w:t>
            </w:r>
          </w:p>
        </w:tc>
      </w:tr>
    </w:tbl>
    <w:p>
      <w:pPr>
        <w:widowControl/>
        <w:ind w:firstLine="0" w:firstLineChars="0"/>
        <w:jc w:val="left"/>
        <w:rPr>
          <w:rFonts w:ascii="黑体" w:hAnsi="黑体" w:eastAsia="黑体"/>
          <w:sz w:val="32"/>
          <w:szCs w:val="32"/>
        </w:rPr>
      </w:pPr>
    </w:p>
    <w:p>
      <w:pPr>
        <w:pStyle w:val="4"/>
      </w:pPr>
      <w:bookmarkStart w:id="165" w:name="_Toc29995171"/>
      <w:bookmarkStart w:id="166" w:name="_Toc505003822"/>
      <w:bookmarkStart w:id="167" w:name="_Toc505003824"/>
      <w:r>
        <w:rPr>
          <w:rFonts w:hint="eastAsia"/>
          <w:kern w:val="0"/>
        </w:rPr>
        <w:t>3.5.</w:t>
      </w:r>
      <w:r>
        <w:rPr>
          <w:rFonts w:hint="eastAsia"/>
        </w:rPr>
        <w:t>4社团活动情况</w:t>
      </w:r>
      <w:bookmarkEnd w:id="165"/>
      <w:bookmarkEnd w:id="166"/>
    </w:p>
    <w:p>
      <w:pPr>
        <w:spacing w:line="400" w:lineRule="atLeast"/>
        <w:ind w:firstLine="480"/>
        <w:rPr>
          <w:rFonts w:ascii="宋体" w:hAnsi="宋体"/>
        </w:rPr>
      </w:pPr>
      <w:r>
        <w:rPr>
          <w:rFonts w:hint="eastAsia" w:ascii="宋体" w:hAnsi="宋体"/>
        </w:rPr>
        <w:t>学校社团经过发展，</w:t>
      </w:r>
      <w:r>
        <w:rPr>
          <w:rFonts w:hint="eastAsia"/>
        </w:rPr>
        <w:t>已设立了33个学生社团，主要涉及宣传服务、专业术科、文学艺术、体育武术和兴趣爱好类。其中宣传服务类4个，专业术科类9个，文学艺术类11个，体育武术类7个，兴趣爱好类3个。参加社团活动的学生有1000多人，</w:t>
      </w:r>
      <w:r>
        <w:rPr>
          <w:rFonts w:hint="eastAsia" w:ascii="宋体" w:hAnsi="宋体"/>
        </w:rPr>
        <w:t>本学期，团委将细化和完善学校社团管理制度，引导社团向积极的方向发展，有效提高社团的管理能力、活动能力和社团品味，扶持一些有代表性的社团，如建设法律社团，也揭阳市检察院进行检校合作，不仅在全校推广普法教育讲座、观看揭阳市法院开庭审判等，而且在法律社团的组织下开展普法知识沙龙游园活动、在学校设立模拟法庭等普法活动增进学生的法律意识，另外也注重建设具有地方文化特色社团，如潮剧社、龙狮社等，通过社团进一步促进地方文化特色的保护和发展，在促进社团的发展的同时，注重社团管理和思想上的引导，建立社团五星级评比制度，每学期对各社团进行多方面的评比，评出先进社团，树立典范，力求社团依然在校园文化建设中发挥重要载体的作用。</w:t>
      </w:r>
    </w:p>
    <w:p>
      <w:pPr>
        <w:pStyle w:val="4"/>
        <w:rPr>
          <w:kern w:val="0"/>
        </w:rPr>
      </w:pPr>
      <w:bookmarkStart w:id="168" w:name="_Toc29995172"/>
      <w:bookmarkStart w:id="169" w:name="_Toc505003823"/>
      <w:r>
        <w:rPr>
          <w:rFonts w:hint="eastAsia"/>
          <w:kern w:val="0"/>
        </w:rPr>
        <w:t>3.5.5团组织学生会建设及活动情况</w:t>
      </w:r>
      <w:bookmarkEnd w:id="168"/>
      <w:bookmarkEnd w:id="169"/>
    </w:p>
    <w:p>
      <w:pPr>
        <w:spacing w:line="400" w:lineRule="atLeast"/>
        <w:ind w:firstLine="480"/>
        <w:rPr>
          <w:color w:val="FF0000"/>
        </w:rPr>
      </w:pPr>
      <w:r>
        <w:rPr>
          <w:rFonts w:hint="eastAsia"/>
          <w:kern w:val="0"/>
        </w:rPr>
        <w:t>加强了团员意识教育，增强了团员的光荣感、责任感和使命感。以团校培训为契机，组织团员青年学习团章，开展历史讲座和革命传统教育，树立远大的理想和正确的人生观。</w:t>
      </w:r>
      <w:r>
        <w:rPr>
          <w:rFonts w:hint="eastAsia" w:ascii="宋体" w:hAnsi="宋体"/>
        </w:rPr>
        <w:t>以建国70周年为契机结合“三月雷锋活动月”、“五•四”、教师节、9月30日烈士纪念日</w:t>
      </w:r>
      <w:r>
        <w:rPr>
          <w:rFonts w:hint="eastAsia"/>
          <w:kern w:val="0"/>
        </w:rPr>
        <w:t>、“禁毒宣传活动月”、学校每年的技能艺术节、体育节、“志愿服务日”等重点节日以及入团具有特殊意义的日子，集中开展绿色环保卫士、交通志愿者、感恩老师、志愿服务进社区等志愿服务活动。</w:t>
      </w:r>
      <w:r>
        <w:rPr>
          <w:rFonts w:hint="eastAsia"/>
        </w:rPr>
        <w:t>以下为近两年来获得的部分荣誉</w:t>
      </w:r>
      <w:r>
        <w:rPr>
          <w:rFonts w:hint="eastAsia"/>
          <w:color w:val="FF0000"/>
        </w:rPr>
        <w:t>：</w:t>
      </w:r>
    </w:p>
    <w:p>
      <w:pPr>
        <w:spacing w:line="400" w:lineRule="atLeast"/>
        <w:ind w:firstLine="480"/>
      </w:pPr>
      <w:r>
        <w:rPr>
          <w:rFonts w:hint="eastAsia"/>
        </w:rPr>
        <w:t>集体类</w:t>
      </w:r>
    </w:p>
    <w:p>
      <w:pPr>
        <w:spacing w:line="400" w:lineRule="atLeast"/>
        <w:ind w:firstLine="480"/>
      </w:pPr>
      <w:r>
        <w:rPr>
          <w:rFonts w:hint="eastAsia"/>
        </w:rPr>
        <w:t>1．2018-2019年度揭阳市优秀学生会——揭阳捷和职业技术学校学生会；</w:t>
      </w:r>
    </w:p>
    <w:p>
      <w:pPr>
        <w:spacing w:line="400" w:lineRule="atLeast"/>
        <w:ind w:firstLine="480"/>
      </w:pPr>
      <w:r>
        <w:rPr>
          <w:rFonts w:hint="eastAsia"/>
        </w:rPr>
        <w:t>2．2018-2019年度揭阳市优秀学生社团-青年志愿者服务队——揭阳捷和职业技术学校青年志愿者服务队；</w:t>
      </w:r>
    </w:p>
    <w:p>
      <w:pPr>
        <w:spacing w:line="400" w:lineRule="atLeast"/>
        <w:ind w:firstLine="480"/>
      </w:pPr>
      <w:r>
        <w:rPr>
          <w:rFonts w:hint="eastAsia"/>
        </w:rPr>
        <w:t>3.2017-2018年度“揭阳市优秀学生社团”称号——揭阳捷和职业技术学校青年志愿者服务队；</w:t>
      </w:r>
    </w:p>
    <w:p>
      <w:pPr>
        <w:spacing w:line="400" w:lineRule="atLeast"/>
        <w:ind w:firstLine="480"/>
      </w:pPr>
      <w:r>
        <w:rPr>
          <w:rFonts w:hint="eastAsia"/>
        </w:rPr>
        <w:t>4.2017-2018年度“揭阳是五四红旗团（总）支部”称号——学前教育大专3班团支部；</w:t>
      </w:r>
    </w:p>
    <w:p>
      <w:pPr>
        <w:spacing w:line="400" w:lineRule="atLeast"/>
        <w:ind w:firstLine="480"/>
      </w:pPr>
      <w:r>
        <w:rPr>
          <w:rFonts w:hint="eastAsia"/>
        </w:rPr>
        <w:t>5.2017-2018年度“揭阳市优秀学生社团”称号——揭阳捷和职业技术学校青年志愿者服务队；</w:t>
      </w:r>
    </w:p>
    <w:p>
      <w:pPr>
        <w:spacing w:line="400" w:lineRule="atLeast"/>
        <w:ind w:firstLine="480"/>
      </w:pPr>
      <w:r>
        <w:rPr>
          <w:rFonts w:hint="eastAsia"/>
        </w:rPr>
        <w:t>个人类：</w:t>
      </w:r>
    </w:p>
    <w:p>
      <w:pPr>
        <w:spacing w:line="400" w:lineRule="atLeast"/>
        <w:ind w:firstLine="480"/>
      </w:pPr>
      <w:r>
        <w:rPr>
          <w:rFonts w:hint="eastAsia"/>
        </w:rPr>
        <w:t>1.2018-2019年度揭阳市优秀学生会干部-黄佳玉；</w:t>
      </w:r>
    </w:p>
    <w:p>
      <w:pPr>
        <w:spacing w:line="400" w:lineRule="atLeast"/>
        <w:ind w:firstLine="480"/>
      </w:pPr>
      <w:r>
        <w:rPr>
          <w:rFonts w:hint="eastAsia"/>
        </w:rPr>
        <w:t>2.2017-2018年度广东省优秀共青团员--方晓珊</w:t>
      </w:r>
    </w:p>
    <w:p>
      <w:pPr>
        <w:spacing w:line="400" w:lineRule="atLeast"/>
        <w:ind w:firstLine="480"/>
      </w:pPr>
      <w:r>
        <w:rPr>
          <w:rFonts w:hint="eastAsia"/>
        </w:rPr>
        <w:t>3.2017-2018年度广东省优秀共青团员--林晓纯</w:t>
      </w:r>
    </w:p>
    <w:p>
      <w:pPr>
        <w:spacing w:line="400" w:lineRule="atLeast"/>
        <w:ind w:firstLine="480"/>
      </w:pPr>
      <w:r>
        <w:rPr>
          <w:rFonts w:hint="eastAsia"/>
        </w:rPr>
        <w:t>4.2017-2018年度广东省优秀学生--孙垒彬等20多人次的先进教师、学生。</w:t>
      </w:r>
    </w:p>
    <w:p>
      <w:pPr>
        <w:pStyle w:val="3"/>
        <w:rPr>
          <w:kern w:val="0"/>
        </w:rPr>
      </w:pPr>
      <w:bookmarkStart w:id="170" w:name="_Toc29995173"/>
      <w:r>
        <w:rPr>
          <w:rFonts w:hint="eastAsia"/>
          <w:kern w:val="0"/>
        </w:rPr>
        <w:t>3.6党建情况</w:t>
      </w:r>
      <w:bookmarkEnd w:id="167"/>
      <w:bookmarkEnd w:id="170"/>
    </w:p>
    <w:p>
      <w:pPr>
        <w:ind w:firstLine="480"/>
      </w:pPr>
      <w:r>
        <w:rPr>
          <w:rFonts w:hint="eastAsia"/>
        </w:rPr>
        <w:t>学校党总支以“两学一做”和“三会一课”学习教育为重点和切入点，深入贯彻党的十九大精神，紧紧围绕学校教育教学中心工作，全面推进思想、组织、作风和制度建设，进一步深化学校党建工作。</w:t>
      </w:r>
    </w:p>
    <w:p>
      <w:pPr>
        <w:pStyle w:val="4"/>
      </w:pPr>
      <w:bookmarkStart w:id="171" w:name="_Toc505003825"/>
      <w:bookmarkStart w:id="172" w:name="_Toc29995174"/>
      <w:r>
        <w:rPr>
          <w:rFonts w:hint="eastAsia"/>
        </w:rPr>
        <w:t>3.6.1依托学习载体，提升理论素养</w:t>
      </w:r>
      <w:bookmarkEnd w:id="171"/>
      <w:bookmarkEnd w:id="172"/>
    </w:p>
    <w:p>
      <w:pPr>
        <w:pStyle w:val="10"/>
      </w:pPr>
      <w:bookmarkStart w:id="173" w:name="_Toc505003826"/>
      <w:bookmarkStart w:id="174" w:name="_Toc472001005"/>
      <w:bookmarkStart w:id="175" w:name="_Toc29995175"/>
      <w:r>
        <w:rPr>
          <w:rFonts w:hint="eastAsia"/>
        </w:rPr>
        <w:t>3.6.1.1</w:t>
      </w:r>
      <w:bookmarkEnd w:id="173"/>
      <w:bookmarkEnd w:id="174"/>
      <w:r>
        <w:rPr>
          <w:rFonts w:hint="eastAsia"/>
        </w:rPr>
        <w:t>积极开展“三会一课”和“每周党日活动”</w:t>
      </w:r>
      <w:bookmarkEnd w:id="175"/>
    </w:p>
    <w:p>
      <w:pPr>
        <w:widowControl/>
        <w:ind w:firstLine="480"/>
        <w:jc w:val="left"/>
      </w:pPr>
      <w:r>
        <w:rPr>
          <w:rFonts w:hint="eastAsia"/>
        </w:rPr>
        <w:t>学校认真组织“三会一课”活动，严格按照“三会一课”的要求定点定时开展学习活动。同时根据上级分党委的要求，我校还在每周的星期一开展“每周党日活动”，党日主题活动主要根据上级学习活动并结合学校实际开展党日主题活动。学习内容包括：《习近平谈治国理政》第一卷和第二卷，平语近人学习活动，习近平同志视察广东重要讲话精神、《中国共产党纪律处分条例》以及十九大精神等。同时全体党员要通读《党章》，深入领会党员条件和义务、权利，牢记入党誓词，明确做合格党员的标准和条件，学习《中国共产党廉洁自律原则》《中国共产党纪律处分条例》《中国共产党权利保障条例》等，牢记党规党纪，牢记党的优良传统和作风，树立崇高道德追求，养成纪律自觉，守住为人、做事的基准和底线。学系列讲话。全体党员要认真学习《习近平总书记系列重要讲话读本（2016年版）》，通过学习，深刻领会习近平总书记系列重要讲话的基本精神，深刻领会党中央治国理政新理念新思想新战略的基本内容，切实掌握与增强党性修养、践行宗旨观念、涵养道德品质等相关的基本要求，自觉以系列重要讲话精神武装头脑、指导实践、推动工作。做合格党员。最根本的是增强政治意识、大局意识、核心意识、看齐意识，主动向党中央看齐，向党的理论和路线方针政策看齐。做“讲政治、有信念”的合格党员、做“讲规矩、有纪律”的合格党员、做“讲道德、有品行”的合格党员、做“讲奉献、有作为”的合格党员。</w:t>
      </w:r>
    </w:p>
    <w:p>
      <w:pPr>
        <w:pStyle w:val="10"/>
      </w:pPr>
      <w:bookmarkStart w:id="176" w:name="_Toc472001006"/>
      <w:bookmarkStart w:id="177" w:name="_Toc505003827"/>
      <w:bookmarkStart w:id="178" w:name="_Toc29995176"/>
      <w:r>
        <w:rPr>
          <w:rFonts w:hint="eastAsia"/>
        </w:rPr>
        <w:t>3.6.1.2扎实组织好专题学习讨论</w:t>
      </w:r>
      <w:bookmarkEnd w:id="176"/>
      <w:bookmarkEnd w:id="177"/>
      <w:bookmarkEnd w:id="178"/>
    </w:p>
    <w:p>
      <w:pPr>
        <w:widowControl/>
        <w:ind w:firstLine="480"/>
        <w:jc w:val="left"/>
      </w:pPr>
      <w:r>
        <w:rPr>
          <w:rFonts w:hint="eastAsia"/>
        </w:rPr>
        <w:t>学校党总支根据“我是党员，我带头”的党日主题活动并结合我市的创建国家文明城市活动和我校作为一所教育机构的工作实绩，研究制定了详细的学习计划，采取个人自学与集中学习相结合的方式，坚持把学党章党规、学系列讲话贯穿始终，在自学的基础上，根据“三会一课”的时间要求，开展党组织学习活动，每次学习活动都围绕一个专题组织学习讨论。集中学习突出主题，精心设计，细化安排。由学校党总支部书记为全体党员上课，邀请上级教育局党委领导来校为全体党员上党课。</w:t>
      </w:r>
    </w:p>
    <w:p>
      <w:pPr>
        <w:pStyle w:val="10"/>
      </w:pPr>
      <w:bookmarkStart w:id="179" w:name="_Toc472001007"/>
      <w:bookmarkStart w:id="180" w:name="_Toc505003828"/>
      <w:bookmarkStart w:id="181" w:name="_Toc29995177"/>
      <w:r>
        <w:rPr>
          <w:rFonts w:hint="eastAsia"/>
        </w:rPr>
        <w:t>3.6.1.3引导党员立足岗位作贡献</w:t>
      </w:r>
      <w:bookmarkEnd w:id="179"/>
      <w:bookmarkEnd w:id="180"/>
      <w:bookmarkEnd w:id="181"/>
    </w:p>
    <w:p>
      <w:pPr>
        <w:widowControl/>
        <w:ind w:firstLine="480"/>
        <w:jc w:val="left"/>
      </w:pPr>
      <w:r>
        <w:rPr>
          <w:rFonts w:hint="eastAsia"/>
        </w:rPr>
        <w:t>在党员中开展“亮身份、亮承诺、亮业绩”活动，学校党总支部设立党总支工作督导栏，亮明学校党总支各委员的工作内容和工作职责，接受人民群众监督。同时在校园的设立专题宣传栏进行宣传，成立学校家长委员会主动接受群众和学生</w:t>
      </w:r>
      <w:r>
        <w:fldChar w:fldCharType="begin"/>
      </w:r>
      <w:r>
        <w:instrText xml:space="preserve"> HYPERLINK "http://rj.5ykj.com/" \t "_blank" </w:instrText>
      </w:r>
      <w:r>
        <w:fldChar w:fldCharType="separate"/>
      </w:r>
      <w:r>
        <w:rPr>
          <w:rFonts w:hint="eastAsia"/>
        </w:rPr>
        <w:t>家长</w:t>
      </w:r>
      <w:r>
        <w:rPr>
          <w:rFonts w:hint="eastAsia"/>
        </w:rPr>
        <w:fldChar w:fldCharType="end"/>
      </w:r>
      <w:r>
        <w:rPr>
          <w:rFonts w:hint="eastAsia"/>
        </w:rPr>
        <w:t>的监督。</w:t>
      </w:r>
    </w:p>
    <w:p>
      <w:pPr>
        <w:pStyle w:val="4"/>
      </w:pPr>
      <w:bookmarkStart w:id="182" w:name="_Toc29995178"/>
      <w:bookmarkStart w:id="183" w:name="_Toc505003829"/>
      <w:r>
        <w:rPr>
          <w:rFonts w:hint="eastAsia"/>
        </w:rPr>
        <w:t>3.6.2加强教育管理，促进组织建设</w:t>
      </w:r>
      <w:bookmarkEnd w:id="182"/>
      <w:bookmarkEnd w:id="183"/>
    </w:p>
    <w:p>
      <w:pPr>
        <w:ind w:firstLine="480"/>
      </w:pPr>
      <w:r>
        <w:rPr>
          <w:rFonts w:hint="eastAsia"/>
        </w:rPr>
        <w:t>结合学校教育工作实际，加强和改进党的组织建设。抓好干部队伍建设、党员队伍建设、教师队伍建设是实现学校内涵发展的关键所在，学校党总支部要把这项工作作为党建工作的重点来抓。</w:t>
      </w:r>
    </w:p>
    <w:p>
      <w:pPr>
        <w:pStyle w:val="10"/>
      </w:pPr>
      <w:bookmarkStart w:id="184" w:name="_Toc29995179"/>
      <w:bookmarkStart w:id="185" w:name="_Toc505003830"/>
      <w:r>
        <w:rPr>
          <w:rFonts w:hint="eastAsia"/>
        </w:rPr>
        <w:t>3.6.2.1加强干部队伍建设</w:t>
      </w:r>
      <w:bookmarkEnd w:id="184"/>
      <w:bookmarkEnd w:id="185"/>
    </w:p>
    <w:p>
      <w:pPr>
        <w:widowControl/>
        <w:ind w:firstLine="480"/>
        <w:jc w:val="left"/>
      </w:pPr>
      <w:r>
        <w:rPr>
          <w:rFonts w:hint="eastAsia"/>
        </w:rPr>
        <w:t>充分发挥班子成员分工协作、集体决策的优良传统，增强班子的战斗力。建立和实行中层干部工作考核制度，重平时考核、重实绩考核，使全体干部注重学习，自觉接受教育和监督。</w:t>
      </w:r>
    </w:p>
    <w:p>
      <w:pPr>
        <w:pStyle w:val="10"/>
      </w:pPr>
      <w:bookmarkStart w:id="186" w:name="_Toc505003831"/>
      <w:bookmarkStart w:id="187" w:name="_Toc29995180"/>
      <w:r>
        <w:rPr>
          <w:rFonts w:hint="eastAsia"/>
        </w:rPr>
        <w:t>3.6.2.2加强党员队伍建设</w:t>
      </w:r>
      <w:bookmarkEnd w:id="186"/>
      <w:bookmarkEnd w:id="187"/>
    </w:p>
    <w:p>
      <w:pPr>
        <w:widowControl/>
        <w:ind w:firstLine="480"/>
        <w:jc w:val="left"/>
        <w:rPr>
          <w:rFonts w:ascii="仿宋_GB2312" w:hAnsi="Courier New" w:eastAsia="仿宋_GB2312"/>
        </w:rPr>
      </w:pPr>
      <w:r>
        <w:rPr>
          <w:rFonts w:hint="eastAsia"/>
        </w:rPr>
        <w:t>充分发挥党员的先锋模范作用，体现“我是党员我带头”。扎实做好党员组织建设工作，根据区教育局分党委的要求，本学年度主要根据“我是党员我带头”的党日主题活动积极开展每周星期一的党日主题活动，并做好相关记录和资料汇总。明确党员的职责和义务，并通过日常的学习活动加强党组织的凝聚力建设。另外，学校还结合我市创建文明城市的活动实际，安排党员下沉基层活动，充分发挥党员的先锋模范作用，充分体现“我是党员我带头”的现实意义。</w:t>
      </w:r>
    </w:p>
    <w:p>
      <w:pPr>
        <w:pStyle w:val="10"/>
      </w:pPr>
      <w:bookmarkStart w:id="188" w:name="_Toc505003832"/>
      <w:bookmarkStart w:id="189" w:name="_Toc29995181"/>
      <w:r>
        <w:rPr>
          <w:rFonts w:hint="eastAsia"/>
        </w:rPr>
        <w:t>3.6.2.3加强教师队伍建设</w:t>
      </w:r>
      <w:bookmarkEnd w:id="188"/>
      <w:bookmarkEnd w:id="189"/>
    </w:p>
    <w:p>
      <w:pPr>
        <w:widowControl/>
        <w:ind w:firstLine="480"/>
        <w:jc w:val="left"/>
      </w:pPr>
      <w:r>
        <w:rPr>
          <w:rFonts w:hint="eastAsia"/>
        </w:rPr>
        <w:t>对全体教职工加强理想信念教育和职业道德教育，结合开展办人民满意的教育的活动，组织教师学习《中等职业学校教师职业道德规范（试行）》、《未成年人保护法》等法律法规，进一步规范教师从教行为；严格要求教师认真履行职责，为人师表，教书育人。坚决治理教师队伍中违反师德的行为，杜绝有偿家教，净化教书育人环境。组织教师学习上级教育主管部门下发的各类违犯师德的典型案例，要求广大教师自觉增强立德树人、教书育人的荣誉感和责任感，做学生健康成长的指导者和引路人，引导教师不断加强师德修养和认真落实教育、教学常规，促进教师专业成长。</w:t>
      </w:r>
    </w:p>
    <w:p>
      <w:pPr>
        <w:pStyle w:val="4"/>
      </w:pPr>
      <w:bookmarkStart w:id="190" w:name="_Toc505003833"/>
      <w:bookmarkStart w:id="191" w:name="_Toc29995182"/>
      <w:r>
        <w:rPr>
          <w:rFonts w:hint="eastAsia"/>
        </w:rPr>
        <w:t>3.6.3重视文明创建，提升学校内涵</w:t>
      </w:r>
      <w:bookmarkEnd w:id="190"/>
      <w:bookmarkEnd w:id="191"/>
    </w:p>
    <w:p>
      <w:pPr>
        <w:pStyle w:val="10"/>
      </w:pPr>
      <w:bookmarkStart w:id="192" w:name="_Toc472001013"/>
      <w:bookmarkStart w:id="193" w:name="_Toc29995183"/>
      <w:bookmarkStart w:id="194" w:name="_Toc505003834"/>
      <w:r>
        <w:rPr>
          <w:rFonts w:hint="eastAsia"/>
        </w:rPr>
        <w:t>3.6.3.1落实师德规范，加强师德建设</w:t>
      </w:r>
      <w:bookmarkEnd w:id="192"/>
      <w:bookmarkEnd w:id="193"/>
      <w:bookmarkEnd w:id="194"/>
    </w:p>
    <w:p>
      <w:pPr>
        <w:ind w:firstLine="480"/>
        <w:rPr>
          <w:rFonts w:ascii="仿宋_GB2312" w:hAnsi="Courier New" w:eastAsia="仿宋_GB2312"/>
        </w:rPr>
      </w:pPr>
      <w:r>
        <w:rPr>
          <w:rFonts w:hint="eastAsia"/>
        </w:rPr>
        <w:t>以“师德承诺”为载体，深化师德建设，进一步规范教师的言行，切实转变教育思想，建立新型的师生关系，恪守职业道德。开展争创优秀共产党员、师德标兵和优秀教师活动，把争做师德标兵活动纳入学校精神文明建设的总体规划。</w:t>
      </w:r>
      <w:r>
        <w:rPr>
          <w:rFonts w:hint="eastAsia"/>
        </w:rPr>
        <w:br w:type="textWrapping"/>
      </w:r>
      <w:r>
        <w:rPr>
          <w:rStyle w:val="20"/>
          <w:rFonts w:hint="eastAsia"/>
        </w:rPr>
        <w:t>3.6.3.2坚持“立德树人”、“德育为先”思想，提高创建文明单位的水平</w:t>
      </w:r>
    </w:p>
    <w:p>
      <w:pPr>
        <w:ind w:firstLine="480"/>
        <w:rPr>
          <w:rFonts w:ascii="仿宋_GB2312" w:hAnsi="Courier New" w:eastAsia="仿宋_GB2312"/>
        </w:rPr>
      </w:pPr>
      <w:r>
        <w:rPr>
          <w:rFonts w:hint="eastAsia"/>
        </w:rPr>
        <w:t>结合我校是揭阳市级文明单位的实际，以提升社会公德、职业道德、家庭美德教育为重点，以文明礼仪教育为切入点，继续提高创建文明单位的水平。</w:t>
      </w:r>
      <w:r>
        <w:rPr>
          <w:rFonts w:hint="eastAsia"/>
        </w:rPr>
        <w:br w:type="textWrapping"/>
      </w:r>
      <w:r>
        <w:rPr>
          <w:rStyle w:val="20"/>
          <w:rFonts w:hint="eastAsia"/>
        </w:rPr>
        <w:t>3.6.3.3充分发挥宣传媒体作用</w:t>
      </w:r>
    </w:p>
    <w:p>
      <w:pPr>
        <w:ind w:firstLine="480"/>
      </w:pPr>
      <w:r>
        <w:rPr>
          <w:rFonts w:hint="eastAsia" w:asciiTheme="majorEastAsia" w:hAnsiTheme="majorEastAsia" w:eastAsiaTheme="majorEastAsia"/>
        </w:rPr>
        <w:t>树立师生身边的先进典型。</w:t>
      </w:r>
      <w:r>
        <w:rPr>
          <w:rFonts w:hint="eastAsia"/>
        </w:rPr>
        <w:t>通过校园网、橱窗板报、校园广播等媒体和专刊、专栏形式进行宣传，以达到营造良好的舆论氛围的效果。</w:t>
      </w:r>
      <w:r>
        <w:rPr>
          <w:rFonts w:hint="eastAsia"/>
        </w:rPr>
        <w:br w:type="textWrapping"/>
      </w:r>
      <w:r>
        <w:rPr>
          <w:rFonts w:hint="eastAsia" w:ascii="仿宋_GB2312" w:hAnsi="Courier New" w:eastAsia="仿宋_GB2312"/>
        </w:rPr>
        <w:t xml:space="preserve">  </w:t>
      </w:r>
      <w:r>
        <w:rPr>
          <w:rFonts w:hint="eastAsia"/>
        </w:rPr>
        <w:t xml:space="preserve">  在新的一年里，学校党总支部将围绕学校教育教学这一中心工作，进一步解放思想，开拓进取，以昂扬向上、奋发有为的精神状态，狠抓工作落实，为学校发展而努力！</w:t>
      </w:r>
    </w:p>
    <w:p>
      <w:pPr>
        <w:pStyle w:val="2"/>
        <w:ind w:left="240" w:right="240"/>
      </w:pPr>
      <w:bookmarkStart w:id="195" w:name="_Toc29995184"/>
      <w:bookmarkStart w:id="196" w:name="_Toc505003835"/>
      <w:r>
        <w:rPr>
          <w:rFonts w:hint="eastAsia"/>
        </w:rPr>
        <w:t>4.校企合作</w:t>
      </w:r>
      <w:bookmarkEnd w:id="195"/>
      <w:bookmarkEnd w:id="196"/>
    </w:p>
    <w:p>
      <w:pPr>
        <w:pStyle w:val="3"/>
      </w:pPr>
      <w:bookmarkStart w:id="197" w:name="_Toc505003836"/>
      <w:bookmarkStart w:id="198" w:name="_Toc29995185"/>
      <w:r>
        <w:rPr>
          <w:rFonts w:hint="eastAsia"/>
        </w:rPr>
        <w:t>4.1校企合作开展情况和效果</w:t>
      </w:r>
      <w:bookmarkEnd w:id="197"/>
      <w:bookmarkEnd w:id="198"/>
    </w:p>
    <w:p>
      <w:pPr>
        <w:pStyle w:val="4"/>
      </w:pPr>
      <w:bookmarkStart w:id="199" w:name="_Toc505003837"/>
      <w:bookmarkStart w:id="200" w:name="_Toc29995186"/>
      <w:r>
        <w:rPr>
          <w:rFonts w:hint="eastAsia"/>
        </w:rPr>
        <w:t>4.1.1校企合作开展情况</w:t>
      </w:r>
      <w:bookmarkEnd w:id="199"/>
      <w:bookmarkEnd w:id="200"/>
    </w:p>
    <w:p>
      <w:pPr>
        <w:ind w:firstLine="480"/>
        <w:rPr>
          <w:rFonts w:ascii="宋体" w:hAnsi="宋体"/>
        </w:rPr>
      </w:pPr>
      <w:r>
        <w:rPr>
          <w:rFonts w:hint="eastAsia" w:ascii="宋体" w:hAnsi="宋体"/>
        </w:rPr>
        <w:t>自2017年以来学校紧跟国家关于加强职业教育校企合作的政策要求，学校同企业的合作也开始进入了深水区。今年以来学校积极拓宽合作领域和丰富合作形式，从一开始的输送实习人才到企业开展顶岗实习，到今年通过外引内联引进企业进入校园开展“引产入校”的合作，真正开始了关于企业引产进校模式的探索。目前同学校开展引产入校合作的企业有三家：分别是深圳前海优质教育公司，揭阳巨轮股份有限公司以及京东揭阳分公司等。合作形式有：如深圳前海优质教育公司是通过引进公司实际工作项目，对学生开展业务培训和实践教学；京东揭阳分公司是通过在校对学生进行培训，然后再带领学生到企业开展实践活动。学校专业建设为“引产入校”需求的变化，也开始从选拔学生、课程设置、组织教学到师资建设、行业认证、学生实习与就业等环节也把企业一同引进参与，企业一线技术骨干为学生上课。从而让学校明确了企业的需求，实现了用人单位人才需求和职校人才培养“零距离”，缩短了毕业生进入企业工作后的适应、磨合期。此举不但为学校的办学模式开辟出一条全新的路子，也为学校的教学改革提供了新的思路。而且解决了学生实习、就业的后顾之忧，大大提升了学校人才培养质量和办学能力，受到企业、学生的欢迎，实现了学校、企业、学生三赢的局面。</w:t>
      </w:r>
    </w:p>
    <w:p>
      <w:pPr>
        <w:widowControl/>
        <w:ind w:firstLine="480"/>
        <w:jc w:val="left"/>
        <w:rPr>
          <w:rFonts w:ascii="仿宋_GB2312" w:hAnsi="宋体" w:eastAsia="仿宋_GB2312"/>
          <w:kern w:val="0"/>
        </w:rPr>
      </w:pPr>
      <w:r>
        <w:rPr>
          <w:rFonts w:hint="eastAsia" w:ascii="宋体" w:hAnsi="宋体" w:cs="宋体"/>
          <w:kern w:val="0"/>
        </w:rPr>
        <w:t>我校所有“订单式校企合作项目”在合作机制、培养目标、课程建设、师资培养、实训室建设、教学安排、学生考核等方面各不相同，归纳如下表（部分企业）：</w:t>
      </w:r>
    </w:p>
    <w:p>
      <w:pPr>
        <w:widowControl/>
        <w:ind w:firstLine="480"/>
        <w:jc w:val="center"/>
        <w:rPr>
          <w:rFonts w:ascii="仿宋_GB2312" w:hAnsi="宋体" w:eastAsia="仿宋_GB2312"/>
          <w:kern w:val="0"/>
        </w:rPr>
      </w:pPr>
    </w:p>
    <w:p>
      <w:pPr>
        <w:widowControl/>
        <w:ind w:firstLine="480"/>
        <w:jc w:val="center"/>
        <w:rPr>
          <w:rFonts w:ascii="仿宋_GB2312" w:hAnsi="宋体" w:eastAsia="仿宋_GB2312"/>
          <w:kern w:val="0"/>
        </w:rPr>
      </w:pPr>
      <w:r>
        <w:rPr>
          <w:rFonts w:hint="eastAsia" w:ascii="仿宋_GB2312" w:hAnsi="宋体" w:eastAsia="仿宋_GB2312"/>
          <w:kern w:val="0"/>
        </w:rPr>
        <w:t>部分校企合作企业</w:t>
      </w:r>
    </w:p>
    <w:tbl>
      <w:tblPr>
        <w:tblStyle w:val="14"/>
        <w:tblpPr w:leftFromText="180" w:rightFromText="180" w:vertAnchor="text" w:horzAnchor="page" w:tblpXSpec="center" w:tblpY="1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709"/>
        <w:gridCol w:w="1276"/>
        <w:gridCol w:w="1418"/>
        <w:gridCol w:w="3827"/>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78" w:type="dxa"/>
            <w:vAlign w:val="center"/>
          </w:tcPr>
          <w:p>
            <w:pPr>
              <w:widowControl/>
              <w:ind w:firstLine="0" w:firstLineChars="0"/>
              <w:jc w:val="center"/>
              <w:rPr>
                <w:sz w:val="18"/>
                <w:szCs w:val="18"/>
              </w:rPr>
            </w:pPr>
            <w:r>
              <w:rPr>
                <w:rFonts w:hint="eastAsia"/>
                <w:sz w:val="18"/>
                <w:szCs w:val="18"/>
              </w:rPr>
              <w:t>序号</w:t>
            </w:r>
          </w:p>
        </w:tc>
        <w:tc>
          <w:tcPr>
            <w:tcW w:w="709" w:type="dxa"/>
            <w:vAlign w:val="center"/>
          </w:tcPr>
          <w:p>
            <w:pPr>
              <w:widowControl/>
              <w:ind w:firstLine="0" w:firstLineChars="0"/>
              <w:jc w:val="center"/>
              <w:rPr>
                <w:sz w:val="18"/>
                <w:szCs w:val="18"/>
              </w:rPr>
            </w:pPr>
            <w:r>
              <w:rPr>
                <w:rFonts w:hint="eastAsia"/>
                <w:sz w:val="18"/>
                <w:szCs w:val="18"/>
              </w:rPr>
              <w:t>企业名称</w:t>
            </w:r>
          </w:p>
        </w:tc>
        <w:tc>
          <w:tcPr>
            <w:tcW w:w="1276" w:type="dxa"/>
            <w:vAlign w:val="center"/>
          </w:tcPr>
          <w:p>
            <w:pPr>
              <w:widowControl/>
              <w:ind w:firstLine="0" w:firstLineChars="0"/>
              <w:jc w:val="center"/>
              <w:rPr>
                <w:sz w:val="18"/>
                <w:szCs w:val="18"/>
              </w:rPr>
            </w:pPr>
            <w:r>
              <w:rPr>
                <w:rFonts w:hint="eastAsia"/>
                <w:sz w:val="18"/>
                <w:szCs w:val="18"/>
              </w:rPr>
              <w:t>合作模式</w:t>
            </w:r>
          </w:p>
        </w:tc>
        <w:tc>
          <w:tcPr>
            <w:tcW w:w="1418" w:type="dxa"/>
            <w:vAlign w:val="center"/>
          </w:tcPr>
          <w:p>
            <w:pPr>
              <w:widowControl/>
              <w:ind w:firstLine="0" w:firstLineChars="0"/>
              <w:jc w:val="center"/>
              <w:rPr>
                <w:sz w:val="18"/>
                <w:szCs w:val="18"/>
              </w:rPr>
            </w:pPr>
            <w:r>
              <w:rPr>
                <w:rFonts w:hint="eastAsia"/>
                <w:sz w:val="18"/>
                <w:szCs w:val="18"/>
              </w:rPr>
              <w:t>培养目标</w:t>
            </w:r>
          </w:p>
        </w:tc>
        <w:tc>
          <w:tcPr>
            <w:tcW w:w="3827" w:type="dxa"/>
            <w:vAlign w:val="center"/>
          </w:tcPr>
          <w:p>
            <w:pPr>
              <w:widowControl/>
              <w:ind w:firstLine="0" w:firstLineChars="0"/>
              <w:jc w:val="center"/>
              <w:rPr>
                <w:sz w:val="18"/>
                <w:szCs w:val="18"/>
              </w:rPr>
            </w:pPr>
            <w:r>
              <w:rPr>
                <w:rFonts w:hint="eastAsia"/>
                <w:sz w:val="18"/>
                <w:szCs w:val="18"/>
              </w:rPr>
              <w:t>具体运作</w:t>
            </w:r>
          </w:p>
        </w:tc>
        <w:tc>
          <w:tcPr>
            <w:tcW w:w="2693" w:type="dxa"/>
            <w:vAlign w:val="center"/>
          </w:tcPr>
          <w:p>
            <w:pPr>
              <w:widowControl/>
              <w:ind w:firstLine="0" w:firstLineChars="0"/>
              <w:jc w:val="center"/>
              <w:rPr>
                <w:sz w:val="18"/>
                <w:szCs w:val="18"/>
              </w:rPr>
            </w:pPr>
            <w:r>
              <w:rPr>
                <w:rFonts w:hint="eastAsia"/>
                <w:sz w:val="18"/>
                <w:szCs w:val="18"/>
              </w:rPr>
              <w:t>合作成效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2" w:hRule="atLeast"/>
        </w:trPr>
        <w:tc>
          <w:tcPr>
            <w:tcW w:w="578" w:type="dxa"/>
            <w:vAlign w:val="center"/>
          </w:tcPr>
          <w:p>
            <w:pPr>
              <w:widowControl/>
              <w:ind w:firstLine="0" w:firstLineChars="0"/>
              <w:jc w:val="center"/>
              <w:rPr>
                <w:sz w:val="18"/>
                <w:szCs w:val="18"/>
              </w:rPr>
            </w:pPr>
            <w:r>
              <w:rPr>
                <w:rFonts w:hint="eastAsia"/>
                <w:sz w:val="18"/>
                <w:szCs w:val="18"/>
              </w:rPr>
              <w:t>1</w:t>
            </w:r>
          </w:p>
        </w:tc>
        <w:tc>
          <w:tcPr>
            <w:tcW w:w="709" w:type="dxa"/>
            <w:vAlign w:val="center"/>
          </w:tcPr>
          <w:p>
            <w:pPr>
              <w:widowControl/>
              <w:ind w:firstLine="0" w:firstLineChars="0"/>
              <w:jc w:val="center"/>
              <w:rPr>
                <w:sz w:val="18"/>
                <w:szCs w:val="18"/>
              </w:rPr>
            </w:pPr>
            <w:r>
              <w:rPr>
                <w:rFonts w:hint="eastAsia"/>
                <w:sz w:val="18"/>
                <w:szCs w:val="18"/>
              </w:rPr>
              <w:t>揭阳榕江大酒店</w:t>
            </w:r>
          </w:p>
        </w:tc>
        <w:tc>
          <w:tcPr>
            <w:tcW w:w="1276" w:type="dxa"/>
            <w:vAlign w:val="center"/>
          </w:tcPr>
          <w:p>
            <w:pPr>
              <w:widowControl/>
              <w:ind w:firstLine="0" w:firstLineChars="0"/>
              <w:jc w:val="center"/>
              <w:rPr>
                <w:sz w:val="18"/>
                <w:szCs w:val="18"/>
              </w:rPr>
            </w:pPr>
            <w:r>
              <w:rPr>
                <w:rFonts w:hint="eastAsia"/>
                <w:sz w:val="18"/>
                <w:szCs w:val="18"/>
              </w:rPr>
              <w:t>现代学徒制模式</w:t>
            </w:r>
          </w:p>
        </w:tc>
        <w:tc>
          <w:tcPr>
            <w:tcW w:w="1418" w:type="dxa"/>
            <w:vAlign w:val="center"/>
          </w:tcPr>
          <w:p>
            <w:pPr>
              <w:widowControl/>
              <w:ind w:firstLine="0" w:firstLineChars="0"/>
              <w:jc w:val="center"/>
              <w:rPr>
                <w:sz w:val="18"/>
                <w:szCs w:val="18"/>
              </w:rPr>
            </w:pPr>
            <w:r>
              <w:rPr>
                <w:rFonts w:hint="eastAsia"/>
                <w:sz w:val="18"/>
                <w:szCs w:val="18"/>
              </w:rPr>
              <w:t>酒店餐饮厨师</w:t>
            </w:r>
          </w:p>
        </w:tc>
        <w:tc>
          <w:tcPr>
            <w:tcW w:w="3827" w:type="dxa"/>
            <w:vAlign w:val="center"/>
          </w:tcPr>
          <w:p>
            <w:pPr>
              <w:widowControl/>
              <w:ind w:firstLine="0" w:firstLineChars="0"/>
              <w:jc w:val="left"/>
              <w:rPr>
                <w:sz w:val="18"/>
                <w:szCs w:val="18"/>
              </w:rPr>
            </w:pPr>
            <w:r>
              <w:rPr>
                <w:rFonts w:hint="eastAsia"/>
                <w:sz w:val="18"/>
                <w:szCs w:val="18"/>
              </w:rPr>
              <w:t>校企共建实训室和真实经营场所；</w:t>
            </w:r>
          </w:p>
          <w:p>
            <w:pPr>
              <w:widowControl/>
              <w:ind w:firstLine="0" w:firstLineChars="0"/>
              <w:jc w:val="left"/>
              <w:rPr>
                <w:sz w:val="18"/>
                <w:szCs w:val="18"/>
              </w:rPr>
            </w:pPr>
            <w:r>
              <w:rPr>
                <w:rFonts w:hint="eastAsia"/>
                <w:sz w:val="18"/>
                <w:szCs w:val="18"/>
              </w:rPr>
              <w:t>企业提供核心课程资源；</w:t>
            </w:r>
          </w:p>
          <w:p>
            <w:pPr>
              <w:widowControl/>
              <w:ind w:firstLine="0" w:firstLineChars="0"/>
              <w:jc w:val="left"/>
              <w:rPr>
                <w:sz w:val="18"/>
                <w:szCs w:val="18"/>
              </w:rPr>
            </w:pPr>
            <w:r>
              <w:rPr>
                <w:rFonts w:hint="eastAsia"/>
                <w:sz w:val="18"/>
                <w:szCs w:val="18"/>
              </w:rPr>
              <w:t>学校教师接受企业培训和认证，共同开发教学资源；</w:t>
            </w:r>
          </w:p>
          <w:p>
            <w:pPr>
              <w:widowControl/>
              <w:ind w:firstLine="0" w:firstLineChars="0"/>
              <w:jc w:val="left"/>
              <w:rPr>
                <w:sz w:val="18"/>
                <w:szCs w:val="18"/>
              </w:rPr>
            </w:pPr>
            <w:r>
              <w:rPr>
                <w:rFonts w:hint="eastAsia"/>
                <w:sz w:val="18"/>
                <w:szCs w:val="18"/>
              </w:rPr>
              <w:t>师徒帮带方式，校企共同培养学生，学生接受行业认证；</w:t>
            </w:r>
          </w:p>
          <w:p>
            <w:pPr>
              <w:widowControl/>
              <w:ind w:firstLine="0" w:firstLineChars="0"/>
              <w:jc w:val="left"/>
              <w:rPr>
                <w:sz w:val="18"/>
                <w:szCs w:val="18"/>
              </w:rPr>
            </w:pPr>
            <w:r>
              <w:rPr>
                <w:rFonts w:hint="eastAsia"/>
                <w:sz w:val="18"/>
                <w:szCs w:val="18"/>
              </w:rPr>
              <w:t>企业负责实习就业安排。</w:t>
            </w:r>
          </w:p>
        </w:tc>
        <w:tc>
          <w:tcPr>
            <w:tcW w:w="2693" w:type="dxa"/>
            <w:vAlign w:val="center"/>
          </w:tcPr>
          <w:p>
            <w:pPr>
              <w:widowControl/>
              <w:ind w:firstLine="0" w:firstLineChars="0"/>
              <w:jc w:val="left"/>
              <w:rPr>
                <w:sz w:val="18"/>
                <w:szCs w:val="18"/>
              </w:rPr>
            </w:pPr>
            <w:r>
              <w:rPr>
                <w:rFonts w:hint="eastAsia"/>
                <w:sz w:val="18"/>
                <w:szCs w:val="18"/>
              </w:rPr>
              <w:t>学生连续多年100%对口就业；</w:t>
            </w:r>
          </w:p>
          <w:p>
            <w:pPr>
              <w:widowControl/>
              <w:ind w:firstLine="0" w:firstLineChars="0"/>
              <w:jc w:val="left"/>
              <w:rPr>
                <w:sz w:val="18"/>
                <w:szCs w:val="18"/>
              </w:rPr>
            </w:pPr>
            <w:r>
              <w:rPr>
                <w:rFonts w:hint="eastAsia"/>
                <w:sz w:val="18"/>
                <w:szCs w:val="18"/>
              </w:rPr>
              <w:t>在校企合作评估中名列前茅，胜过同期与榕江大酒店合作的其他职校；</w:t>
            </w:r>
          </w:p>
          <w:p>
            <w:pPr>
              <w:widowControl/>
              <w:ind w:firstLine="0" w:firstLineChars="0"/>
              <w:jc w:val="left"/>
              <w:rPr>
                <w:sz w:val="18"/>
                <w:szCs w:val="18"/>
              </w:rPr>
            </w:pPr>
            <w:r>
              <w:rPr>
                <w:rFonts w:hint="eastAsia"/>
                <w:sz w:val="18"/>
                <w:szCs w:val="18"/>
              </w:rPr>
              <w:t>校企深度合作、效果明显。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0" w:hRule="atLeast"/>
        </w:trPr>
        <w:tc>
          <w:tcPr>
            <w:tcW w:w="578" w:type="dxa"/>
            <w:vAlign w:val="center"/>
          </w:tcPr>
          <w:p>
            <w:pPr>
              <w:widowControl/>
              <w:ind w:firstLine="0" w:firstLineChars="0"/>
              <w:jc w:val="center"/>
              <w:rPr>
                <w:sz w:val="18"/>
                <w:szCs w:val="18"/>
              </w:rPr>
            </w:pPr>
            <w:r>
              <w:rPr>
                <w:rFonts w:hint="eastAsia"/>
                <w:sz w:val="18"/>
                <w:szCs w:val="18"/>
              </w:rPr>
              <w:t>2</w:t>
            </w:r>
          </w:p>
        </w:tc>
        <w:tc>
          <w:tcPr>
            <w:tcW w:w="709" w:type="dxa"/>
            <w:vAlign w:val="center"/>
          </w:tcPr>
          <w:p>
            <w:pPr>
              <w:widowControl/>
              <w:ind w:firstLine="0" w:firstLineChars="0"/>
              <w:jc w:val="center"/>
              <w:rPr>
                <w:sz w:val="18"/>
                <w:szCs w:val="18"/>
              </w:rPr>
            </w:pPr>
            <w:r>
              <w:rPr>
                <w:rFonts w:hint="eastAsia"/>
                <w:sz w:val="18"/>
                <w:szCs w:val="18"/>
              </w:rPr>
              <w:t>东湖大酒店</w:t>
            </w:r>
          </w:p>
        </w:tc>
        <w:tc>
          <w:tcPr>
            <w:tcW w:w="1276" w:type="dxa"/>
            <w:vAlign w:val="center"/>
          </w:tcPr>
          <w:p>
            <w:pPr>
              <w:widowControl/>
              <w:ind w:firstLine="0" w:firstLineChars="0"/>
              <w:jc w:val="center"/>
              <w:rPr>
                <w:sz w:val="18"/>
                <w:szCs w:val="18"/>
              </w:rPr>
            </w:pPr>
            <w:r>
              <w:rPr>
                <w:rFonts w:hint="eastAsia"/>
                <w:sz w:val="18"/>
                <w:szCs w:val="18"/>
              </w:rPr>
              <w:t>现代学徒制模式</w:t>
            </w:r>
          </w:p>
          <w:p>
            <w:pPr>
              <w:widowControl/>
              <w:ind w:firstLine="0" w:firstLineChars="0"/>
              <w:jc w:val="center"/>
              <w:rPr>
                <w:sz w:val="18"/>
                <w:szCs w:val="18"/>
              </w:rPr>
            </w:pPr>
          </w:p>
        </w:tc>
        <w:tc>
          <w:tcPr>
            <w:tcW w:w="1418" w:type="dxa"/>
            <w:vAlign w:val="center"/>
          </w:tcPr>
          <w:p>
            <w:pPr>
              <w:widowControl/>
              <w:ind w:firstLine="0" w:firstLineChars="0"/>
              <w:jc w:val="center"/>
              <w:rPr>
                <w:sz w:val="18"/>
                <w:szCs w:val="18"/>
              </w:rPr>
            </w:pPr>
            <w:r>
              <w:rPr>
                <w:rFonts w:hint="eastAsia"/>
                <w:sz w:val="18"/>
                <w:szCs w:val="18"/>
              </w:rPr>
              <w:t>酒店餐饮厨师</w:t>
            </w:r>
          </w:p>
        </w:tc>
        <w:tc>
          <w:tcPr>
            <w:tcW w:w="3827" w:type="dxa"/>
            <w:vAlign w:val="center"/>
          </w:tcPr>
          <w:p>
            <w:pPr>
              <w:widowControl/>
              <w:ind w:firstLine="0" w:firstLineChars="0"/>
              <w:jc w:val="left"/>
              <w:rPr>
                <w:sz w:val="18"/>
                <w:szCs w:val="18"/>
              </w:rPr>
            </w:pPr>
            <w:r>
              <w:rPr>
                <w:rFonts w:hint="eastAsia"/>
                <w:sz w:val="18"/>
                <w:szCs w:val="18"/>
              </w:rPr>
              <w:t>1．校企共建实训室和真实经营场所；</w:t>
            </w:r>
          </w:p>
          <w:p>
            <w:pPr>
              <w:widowControl/>
              <w:ind w:firstLine="0" w:firstLineChars="0"/>
              <w:jc w:val="left"/>
              <w:rPr>
                <w:sz w:val="18"/>
                <w:szCs w:val="18"/>
              </w:rPr>
            </w:pPr>
            <w:r>
              <w:rPr>
                <w:rFonts w:hint="eastAsia"/>
                <w:sz w:val="18"/>
                <w:szCs w:val="18"/>
              </w:rPr>
              <w:t>2．企业提供核心课程资源；</w:t>
            </w:r>
          </w:p>
          <w:p>
            <w:pPr>
              <w:widowControl/>
              <w:ind w:firstLine="0" w:firstLineChars="0"/>
              <w:jc w:val="left"/>
              <w:rPr>
                <w:sz w:val="18"/>
                <w:szCs w:val="18"/>
              </w:rPr>
            </w:pPr>
            <w:r>
              <w:rPr>
                <w:rFonts w:hint="eastAsia"/>
                <w:sz w:val="18"/>
                <w:szCs w:val="18"/>
              </w:rPr>
              <w:t>3．学校教师接受企业培训和认证，共同开发教学资源；</w:t>
            </w:r>
          </w:p>
          <w:p>
            <w:pPr>
              <w:widowControl/>
              <w:ind w:firstLine="0" w:firstLineChars="0"/>
              <w:jc w:val="left"/>
              <w:rPr>
                <w:sz w:val="18"/>
                <w:szCs w:val="18"/>
              </w:rPr>
            </w:pPr>
            <w:r>
              <w:rPr>
                <w:rFonts w:hint="eastAsia"/>
                <w:sz w:val="18"/>
                <w:szCs w:val="18"/>
              </w:rPr>
              <w:t>4．师徒帮带方式，校企共同培养学生，学生接受行业认证；</w:t>
            </w:r>
          </w:p>
          <w:p>
            <w:pPr>
              <w:widowControl/>
              <w:ind w:firstLine="0" w:firstLineChars="0"/>
              <w:jc w:val="left"/>
              <w:rPr>
                <w:sz w:val="18"/>
                <w:szCs w:val="18"/>
              </w:rPr>
            </w:pPr>
            <w:r>
              <w:rPr>
                <w:rFonts w:hint="eastAsia"/>
                <w:sz w:val="18"/>
                <w:szCs w:val="18"/>
              </w:rPr>
              <w:t>5．企业负责实习就业安排。</w:t>
            </w:r>
          </w:p>
        </w:tc>
        <w:tc>
          <w:tcPr>
            <w:tcW w:w="2693" w:type="dxa"/>
            <w:vAlign w:val="center"/>
          </w:tcPr>
          <w:p>
            <w:pPr>
              <w:widowControl/>
              <w:ind w:firstLine="0" w:firstLineChars="0"/>
              <w:jc w:val="left"/>
              <w:rPr>
                <w:sz w:val="18"/>
                <w:szCs w:val="18"/>
              </w:rPr>
            </w:pPr>
            <w:r>
              <w:rPr>
                <w:rFonts w:hint="eastAsia"/>
                <w:sz w:val="18"/>
                <w:szCs w:val="18"/>
              </w:rPr>
              <w:t>学生连续多年100%对口就业；</w:t>
            </w:r>
          </w:p>
          <w:p>
            <w:pPr>
              <w:widowControl/>
              <w:ind w:firstLine="0" w:firstLineChars="0"/>
              <w:jc w:val="left"/>
              <w:rPr>
                <w:sz w:val="18"/>
                <w:szCs w:val="18"/>
              </w:rPr>
            </w:pPr>
            <w:r>
              <w:rPr>
                <w:rFonts w:hint="eastAsia"/>
                <w:sz w:val="18"/>
                <w:szCs w:val="18"/>
              </w:rPr>
              <w:t>在校企合作评估中名列前茅，胜过同期与榕江大酒店合作的其他职校；</w:t>
            </w:r>
          </w:p>
          <w:p>
            <w:pPr>
              <w:widowControl/>
              <w:ind w:firstLine="0" w:firstLineChars="0"/>
              <w:jc w:val="left"/>
              <w:rPr>
                <w:sz w:val="18"/>
                <w:szCs w:val="18"/>
              </w:rPr>
            </w:pPr>
            <w:r>
              <w:rPr>
                <w:rFonts w:hint="eastAsia"/>
                <w:sz w:val="18"/>
                <w:szCs w:val="18"/>
              </w:rPr>
              <w:t>校企深度合作、效果明显。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2" w:hRule="atLeast"/>
        </w:trPr>
        <w:tc>
          <w:tcPr>
            <w:tcW w:w="578" w:type="dxa"/>
            <w:vAlign w:val="center"/>
          </w:tcPr>
          <w:p>
            <w:pPr>
              <w:widowControl/>
              <w:ind w:firstLine="0" w:firstLineChars="0"/>
              <w:jc w:val="center"/>
              <w:rPr>
                <w:sz w:val="18"/>
                <w:szCs w:val="18"/>
              </w:rPr>
            </w:pPr>
            <w:r>
              <w:rPr>
                <w:rFonts w:hint="eastAsia"/>
                <w:sz w:val="18"/>
                <w:szCs w:val="18"/>
              </w:rPr>
              <w:t>3</w:t>
            </w:r>
          </w:p>
        </w:tc>
        <w:tc>
          <w:tcPr>
            <w:tcW w:w="709" w:type="dxa"/>
            <w:vAlign w:val="center"/>
          </w:tcPr>
          <w:p>
            <w:pPr>
              <w:widowControl/>
              <w:ind w:firstLine="0" w:firstLineChars="0"/>
              <w:jc w:val="center"/>
              <w:rPr>
                <w:sz w:val="18"/>
                <w:szCs w:val="18"/>
              </w:rPr>
            </w:pPr>
            <w:r>
              <w:rPr>
                <w:rFonts w:hint="eastAsia"/>
                <w:sz w:val="18"/>
                <w:szCs w:val="18"/>
              </w:rPr>
              <w:t>揭阳鼎胜餐饮有限公司</w:t>
            </w:r>
          </w:p>
        </w:tc>
        <w:tc>
          <w:tcPr>
            <w:tcW w:w="1276" w:type="dxa"/>
            <w:vAlign w:val="center"/>
          </w:tcPr>
          <w:p>
            <w:pPr>
              <w:widowControl/>
              <w:ind w:firstLine="0" w:firstLineChars="0"/>
              <w:jc w:val="center"/>
              <w:rPr>
                <w:sz w:val="18"/>
                <w:szCs w:val="18"/>
              </w:rPr>
            </w:pPr>
            <w:r>
              <w:rPr>
                <w:rFonts w:hint="eastAsia"/>
                <w:sz w:val="18"/>
                <w:szCs w:val="18"/>
              </w:rPr>
              <w:t>现代学徒制模式</w:t>
            </w:r>
          </w:p>
          <w:p>
            <w:pPr>
              <w:widowControl/>
              <w:ind w:firstLine="0" w:firstLineChars="0"/>
              <w:jc w:val="center"/>
              <w:rPr>
                <w:sz w:val="18"/>
                <w:szCs w:val="18"/>
              </w:rPr>
            </w:pPr>
          </w:p>
        </w:tc>
        <w:tc>
          <w:tcPr>
            <w:tcW w:w="1418" w:type="dxa"/>
            <w:vAlign w:val="center"/>
          </w:tcPr>
          <w:p>
            <w:pPr>
              <w:widowControl/>
              <w:ind w:firstLine="0" w:firstLineChars="0"/>
              <w:jc w:val="center"/>
              <w:rPr>
                <w:sz w:val="18"/>
                <w:szCs w:val="18"/>
              </w:rPr>
            </w:pPr>
            <w:r>
              <w:rPr>
                <w:rFonts w:hint="eastAsia"/>
                <w:sz w:val="18"/>
                <w:szCs w:val="18"/>
              </w:rPr>
              <w:t>酒店餐饮厨师</w:t>
            </w:r>
          </w:p>
        </w:tc>
        <w:tc>
          <w:tcPr>
            <w:tcW w:w="3827" w:type="dxa"/>
            <w:vAlign w:val="center"/>
          </w:tcPr>
          <w:p>
            <w:pPr>
              <w:widowControl/>
              <w:ind w:firstLine="0" w:firstLineChars="0"/>
              <w:jc w:val="left"/>
              <w:rPr>
                <w:sz w:val="18"/>
                <w:szCs w:val="18"/>
              </w:rPr>
            </w:pPr>
            <w:r>
              <w:rPr>
                <w:rFonts w:hint="eastAsia"/>
                <w:sz w:val="18"/>
                <w:szCs w:val="18"/>
              </w:rPr>
              <w:t>1.校企共建实训室和真实经营场所；</w:t>
            </w:r>
          </w:p>
          <w:p>
            <w:pPr>
              <w:widowControl/>
              <w:ind w:firstLine="0" w:firstLineChars="0"/>
              <w:jc w:val="left"/>
              <w:rPr>
                <w:sz w:val="18"/>
                <w:szCs w:val="18"/>
              </w:rPr>
            </w:pPr>
            <w:r>
              <w:rPr>
                <w:rFonts w:hint="eastAsia"/>
                <w:sz w:val="18"/>
                <w:szCs w:val="18"/>
              </w:rPr>
              <w:t>2．企业提供核心课程资源；</w:t>
            </w:r>
          </w:p>
          <w:p>
            <w:pPr>
              <w:widowControl/>
              <w:ind w:firstLine="0" w:firstLineChars="0"/>
              <w:jc w:val="left"/>
              <w:rPr>
                <w:sz w:val="18"/>
                <w:szCs w:val="18"/>
              </w:rPr>
            </w:pPr>
            <w:r>
              <w:rPr>
                <w:rFonts w:hint="eastAsia"/>
                <w:sz w:val="18"/>
                <w:szCs w:val="18"/>
              </w:rPr>
              <w:t>3．学校教师接受企业培训和认证，共同开发教学资源；</w:t>
            </w:r>
          </w:p>
          <w:p>
            <w:pPr>
              <w:widowControl/>
              <w:ind w:firstLine="0" w:firstLineChars="0"/>
              <w:jc w:val="left"/>
              <w:rPr>
                <w:sz w:val="18"/>
                <w:szCs w:val="18"/>
              </w:rPr>
            </w:pPr>
            <w:r>
              <w:rPr>
                <w:rFonts w:hint="eastAsia"/>
                <w:sz w:val="18"/>
                <w:szCs w:val="18"/>
              </w:rPr>
              <w:t>4．师徒帮带方式，校企共同培养学生，学生接受行业认证；</w:t>
            </w:r>
          </w:p>
          <w:p>
            <w:pPr>
              <w:widowControl/>
              <w:ind w:firstLine="0" w:firstLineChars="0"/>
              <w:jc w:val="left"/>
              <w:rPr>
                <w:sz w:val="18"/>
                <w:szCs w:val="18"/>
              </w:rPr>
            </w:pPr>
            <w:r>
              <w:rPr>
                <w:rFonts w:hint="eastAsia"/>
                <w:sz w:val="18"/>
                <w:szCs w:val="18"/>
              </w:rPr>
              <w:t>5．企业负责实习就业安排。</w:t>
            </w:r>
          </w:p>
        </w:tc>
        <w:tc>
          <w:tcPr>
            <w:tcW w:w="2693" w:type="dxa"/>
            <w:vAlign w:val="center"/>
          </w:tcPr>
          <w:p>
            <w:pPr>
              <w:widowControl/>
              <w:ind w:firstLine="0" w:firstLineChars="0"/>
              <w:jc w:val="left"/>
              <w:rPr>
                <w:sz w:val="18"/>
                <w:szCs w:val="18"/>
              </w:rPr>
            </w:pPr>
            <w:r>
              <w:rPr>
                <w:rFonts w:hint="eastAsia"/>
                <w:sz w:val="18"/>
                <w:szCs w:val="18"/>
              </w:rPr>
              <w:t>1.学生连续多年100%对口就业；</w:t>
            </w:r>
          </w:p>
          <w:p>
            <w:pPr>
              <w:widowControl/>
              <w:ind w:firstLine="0" w:firstLineChars="0"/>
              <w:jc w:val="left"/>
              <w:rPr>
                <w:sz w:val="18"/>
                <w:szCs w:val="18"/>
              </w:rPr>
            </w:pPr>
            <w:r>
              <w:rPr>
                <w:rFonts w:hint="eastAsia"/>
                <w:sz w:val="18"/>
                <w:szCs w:val="18"/>
              </w:rPr>
              <w:t>2．在校企合作评估中名列前茅，胜过同期与榕江大酒店合作的其他职校；</w:t>
            </w:r>
          </w:p>
          <w:p>
            <w:pPr>
              <w:widowControl/>
              <w:ind w:firstLine="0" w:firstLineChars="0"/>
              <w:jc w:val="left"/>
              <w:rPr>
                <w:sz w:val="18"/>
                <w:szCs w:val="18"/>
              </w:rPr>
            </w:pPr>
            <w:r>
              <w:rPr>
                <w:rFonts w:hint="eastAsia"/>
                <w:sz w:val="18"/>
                <w:szCs w:val="18"/>
              </w:rPr>
              <w:t>3．校企深度合作、效果明显。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5" w:hRule="atLeast"/>
        </w:trPr>
        <w:tc>
          <w:tcPr>
            <w:tcW w:w="578" w:type="dxa"/>
            <w:vAlign w:val="center"/>
          </w:tcPr>
          <w:p>
            <w:pPr>
              <w:widowControl/>
              <w:ind w:firstLine="0" w:firstLineChars="0"/>
              <w:jc w:val="center"/>
              <w:rPr>
                <w:sz w:val="18"/>
                <w:szCs w:val="18"/>
              </w:rPr>
            </w:pPr>
            <w:r>
              <w:rPr>
                <w:rFonts w:hint="eastAsia"/>
                <w:sz w:val="18"/>
                <w:szCs w:val="18"/>
              </w:rPr>
              <w:t>4</w:t>
            </w:r>
          </w:p>
        </w:tc>
        <w:tc>
          <w:tcPr>
            <w:tcW w:w="709" w:type="dxa"/>
            <w:vAlign w:val="center"/>
          </w:tcPr>
          <w:p>
            <w:pPr>
              <w:widowControl/>
              <w:ind w:firstLine="0" w:firstLineChars="0"/>
              <w:jc w:val="center"/>
              <w:rPr>
                <w:sz w:val="18"/>
                <w:szCs w:val="18"/>
              </w:rPr>
            </w:pPr>
            <w:r>
              <w:rPr>
                <w:rFonts w:hint="eastAsia"/>
                <w:sz w:val="18"/>
                <w:szCs w:val="18"/>
              </w:rPr>
              <w:t>广东吉荣空调有限公司</w:t>
            </w:r>
          </w:p>
        </w:tc>
        <w:tc>
          <w:tcPr>
            <w:tcW w:w="1276" w:type="dxa"/>
            <w:vAlign w:val="center"/>
          </w:tcPr>
          <w:p>
            <w:pPr>
              <w:widowControl/>
              <w:ind w:firstLine="0" w:firstLineChars="0"/>
              <w:jc w:val="center"/>
              <w:rPr>
                <w:sz w:val="18"/>
                <w:szCs w:val="18"/>
              </w:rPr>
            </w:pPr>
            <w:r>
              <w:rPr>
                <w:rFonts w:hint="eastAsia"/>
                <w:sz w:val="18"/>
                <w:szCs w:val="18"/>
              </w:rPr>
              <w:t>实训基地</w:t>
            </w:r>
          </w:p>
          <w:p>
            <w:pPr>
              <w:widowControl/>
              <w:ind w:firstLine="0" w:firstLineChars="0"/>
              <w:jc w:val="center"/>
              <w:rPr>
                <w:sz w:val="18"/>
                <w:szCs w:val="18"/>
              </w:rPr>
            </w:pPr>
            <w:r>
              <w:rPr>
                <w:rFonts w:hint="eastAsia"/>
                <w:sz w:val="18"/>
                <w:szCs w:val="18"/>
              </w:rPr>
              <w:t>模式</w:t>
            </w:r>
          </w:p>
          <w:p>
            <w:pPr>
              <w:widowControl/>
              <w:ind w:firstLine="0" w:firstLineChars="0"/>
              <w:jc w:val="center"/>
              <w:rPr>
                <w:sz w:val="18"/>
                <w:szCs w:val="18"/>
              </w:rPr>
            </w:pPr>
          </w:p>
          <w:p>
            <w:pPr>
              <w:widowControl/>
              <w:ind w:firstLine="0" w:firstLineChars="0"/>
              <w:jc w:val="center"/>
              <w:rPr>
                <w:sz w:val="18"/>
                <w:szCs w:val="18"/>
              </w:rPr>
            </w:pPr>
            <w:r>
              <w:rPr>
                <w:rFonts w:hint="eastAsia"/>
                <w:sz w:val="18"/>
                <w:szCs w:val="18"/>
              </w:rPr>
              <w:t>先学后训</w:t>
            </w:r>
          </w:p>
        </w:tc>
        <w:tc>
          <w:tcPr>
            <w:tcW w:w="1418" w:type="dxa"/>
            <w:vAlign w:val="center"/>
          </w:tcPr>
          <w:p>
            <w:pPr>
              <w:widowControl/>
              <w:ind w:firstLine="0" w:firstLineChars="0"/>
              <w:jc w:val="center"/>
              <w:rPr>
                <w:sz w:val="18"/>
                <w:szCs w:val="18"/>
              </w:rPr>
            </w:pPr>
            <w:r>
              <w:rPr>
                <w:rFonts w:hint="eastAsia"/>
                <w:sz w:val="18"/>
                <w:szCs w:val="18"/>
              </w:rPr>
              <w:t>电梯安装维护技术员</w:t>
            </w:r>
          </w:p>
        </w:tc>
        <w:tc>
          <w:tcPr>
            <w:tcW w:w="3827" w:type="dxa"/>
            <w:vAlign w:val="center"/>
          </w:tcPr>
          <w:p>
            <w:pPr>
              <w:widowControl/>
              <w:ind w:firstLine="0" w:firstLineChars="0"/>
              <w:jc w:val="left"/>
              <w:rPr>
                <w:sz w:val="18"/>
                <w:szCs w:val="18"/>
              </w:rPr>
            </w:pPr>
            <w:r>
              <w:rPr>
                <w:rFonts w:hint="eastAsia"/>
                <w:sz w:val="18"/>
                <w:szCs w:val="18"/>
              </w:rPr>
              <w:t>校企共建“校外吉荣专班电梯实训室”，校企共同使用，既做为学生实训室，也做为企业员工培训室；</w:t>
            </w:r>
          </w:p>
          <w:p>
            <w:pPr>
              <w:widowControl/>
              <w:ind w:firstLine="0" w:firstLineChars="0"/>
              <w:jc w:val="left"/>
              <w:rPr>
                <w:sz w:val="18"/>
                <w:szCs w:val="18"/>
              </w:rPr>
            </w:pPr>
            <w:r>
              <w:rPr>
                <w:rFonts w:hint="eastAsia"/>
                <w:sz w:val="18"/>
                <w:szCs w:val="18"/>
              </w:rPr>
              <w:t>企业师傅进驻实训室，既参与学校教学也培训企业员工；</w:t>
            </w:r>
          </w:p>
          <w:p>
            <w:pPr>
              <w:widowControl/>
              <w:ind w:firstLine="0" w:firstLineChars="0"/>
              <w:jc w:val="left"/>
              <w:rPr>
                <w:sz w:val="18"/>
                <w:szCs w:val="18"/>
              </w:rPr>
            </w:pPr>
            <w:r>
              <w:rPr>
                <w:rFonts w:hint="eastAsia"/>
                <w:sz w:val="18"/>
                <w:szCs w:val="18"/>
              </w:rPr>
              <w:t>学校教师接受企业培训，共同开发教学资源；</w:t>
            </w:r>
          </w:p>
          <w:p>
            <w:pPr>
              <w:widowControl/>
              <w:ind w:firstLine="0" w:firstLineChars="0"/>
              <w:jc w:val="left"/>
              <w:rPr>
                <w:sz w:val="18"/>
                <w:szCs w:val="18"/>
              </w:rPr>
            </w:pPr>
            <w:r>
              <w:rPr>
                <w:rFonts w:hint="eastAsia"/>
                <w:sz w:val="18"/>
                <w:szCs w:val="18"/>
              </w:rPr>
              <w:t>校企共同培养学生，学生接受行业认证；</w:t>
            </w:r>
          </w:p>
          <w:p>
            <w:pPr>
              <w:widowControl/>
              <w:ind w:firstLine="0" w:firstLineChars="0"/>
              <w:jc w:val="left"/>
              <w:rPr>
                <w:sz w:val="18"/>
                <w:szCs w:val="18"/>
              </w:rPr>
            </w:pPr>
            <w:r>
              <w:rPr>
                <w:rFonts w:hint="eastAsia"/>
                <w:sz w:val="18"/>
                <w:szCs w:val="18"/>
              </w:rPr>
              <w:t>企业负责实习安排、择优录用。</w:t>
            </w:r>
          </w:p>
        </w:tc>
        <w:tc>
          <w:tcPr>
            <w:tcW w:w="2693" w:type="dxa"/>
            <w:vAlign w:val="center"/>
          </w:tcPr>
          <w:p>
            <w:pPr>
              <w:widowControl/>
              <w:ind w:firstLine="0" w:firstLineChars="0"/>
              <w:jc w:val="left"/>
              <w:rPr>
                <w:sz w:val="18"/>
                <w:szCs w:val="18"/>
              </w:rPr>
            </w:pPr>
            <w:r>
              <w:rPr>
                <w:rFonts w:hint="eastAsia"/>
                <w:sz w:val="18"/>
                <w:szCs w:val="18"/>
              </w:rPr>
              <w:t>学生技能水平高，电梯行业认证通过率高达95%；</w:t>
            </w:r>
          </w:p>
          <w:p>
            <w:pPr>
              <w:widowControl/>
              <w:ind w:firstLine="0" w:firstLineChars="0"/>
              <w:jc w:val="left"/>
              <w:rPr>
                <w:sz w:val="18"/>
                <w:szCs w:val="18"/>
              </w:rPr>
            </w:pPr>
            <w:r>
              <w:rPr>
                <w:rFonts w:hint="eastAsia"/>
                <w:sz w:val="18"/>
                <w:szCs w:val="18"/>
              </w:rPr>
              <w:t>对口就业率达98%以上；</w:t>
            </w:r>
          </w:p>
          <w:p>
            <w:pPr>
              <w:widowControl/>
              <w:ind w:firstLine="0" w:firstLineChars="0"/>
              <w:jc w:val="left"/>
              <w:rPr>
                <w:sz w:val="18"/>
                <w:szCs w:val="18"/>
              </w:rPr>
            </w:pPr>
            <w:r>
              <w:rPr>
                <w:rFonts w:hint="eastAsia"/>
                <w:sz w:val="18"/>
                <w:szCs w:val="18"/>
              </w:rPr>
              <w:t>学徒制特征明显。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8" w:hRule="atLeast"/>
        </w:trPr>
        <w:tc>
          <w:tcPr>
            <w:tcW w:w="578" w:type="dxa"/>
            <w:vAlign w:val="center"/>
          </w:tcPr>
          <w:p>
            <w:pPr>
              <w:widowControl/>
              <w:ind w:firstLine="0" w:firstLineChars="0"/>
              <w:jc w:val="center"/>
              <w:rPr>
                <w:sz w:val="18"/>
                <w:szCs w:val="18"/>
              </w:rPr>
            </w:pPr>
            <w:r>
              <w:rPr>
                <w:rFonts w:hint="eastAsia"/>
                <w:sz w:val="18"/>
                <w:szCs w:val="18"/>
              </w:rPr>
              <w:t>5</w:t>
            </w:r>
          </w:p>
        </w:tc>
        <w:tc>
          <w:tcPr>
            <w:tcW w:w="709" w:type="dxa"/>
            <w:vAlign w:val="center"/>
          </w:tcPr>
          <w:p>
            <w:pPr>
              <w:widowControl/>
              <w:ind w:firstLine="0" w:firstLineChars="0"/>
              <w:jc w:val="center"/>
              <w:rPr>
                <w:sz w:val="18"/>
                <w:szCs w:val="18"/>
              </w:rPr>
            </w:pPr>
            <w:r>
              <w:rPr>
                <w:rFonts w:hint="eastAsia"/>
                <w:sz w:val="18"/>
                <w:szCs w:val="18"/>
              </w:rPr>
              <w:t>胜木电子商务孵化基地</w:t>
            </w:r>
          </w:p>
        </w:tc>
        <w:tc>
          <w:tcPr>
            <w:tcW w:w="1276" w:type="dxa"/>
            <w:vAlign w:val="center"/>
          </w:tcPr>
          <w:p>
            <w:pPr>
              <w:widowControl/>
              <w:ind w:firstLine="0" w:firstLineChars="0"/>
              <w:jc w:val="center"/>
              <w:rPr>
                <w:sz w:val="18"/>
                <w:szCs w:val="18"/>
              </w:rPr>
            </w:pPr>
            <w:r>
              <w:rPr>
                <w:rFonts w:hint="eastAsia"/>
                <w:sz w:val="18"/>
                <w:szCs w:val="18"/>
              </w:rPr>
              <w:t>“园区学徒”模式</w:t>
            </w:r>
          </w:p>
          <w:p>
            <w:pPr>
              <w:widowControl/>
              <w:ind w:firstLine="0" w:firstLineChars="0"/>
              <w:jc w:val="center"/>
              <w:rPr>
                <w:sz w:val="18"/>
                <w:szCs w:val="18"/>
              </w:rPr>
            </w:pPr>
          </w:p>
          <w:p>
            <w:pPr>
              <w:widowControl/>
              <w:ind w:firstLine="0" w:firstLineChars="0"/>
              <w:jc w:val="center"/>
              <w:rPr>
                <w:sz w:val="18"/>
                <w:szCs w:val="18"/>
              </w:rPr>
            </w:pPr>
            <w:r>
              <w:rPr>
                <w:rFonts w:hint="eastAsia"/>
                <w:sz w:val="18"/>
                <w:szCs w:val="18"/>
              </w:rPr>
              <w:t>学训交替</w:t>
            </w:r>
          </w:p>
        </w:tc>
        <w:tc>
          <w:tcPr>
            <w:tcW w:w="1418" w:type="dxa"/>
            <w:vAlign w:val="center"/>
          </w:tcPr>
          <w:p>
            <w:pPr>
              <w:widowControl/>
              <w:ind w:firstLine="0" w:firstLineChars="0"/>
              <w:jc w:val="center"/>
              <w:rPr>
                <w:sz w:val="18"/>
                <w:szCs w:val="18"/>
              </w:rPr>
            </w:pPr>
            <w:r>
              <w:rPr>
                <w:rFonts w:hint="eastAsia"/>
                <w:sz w:val="18"/>
                <w:szCs w:val="18"/>
              </w:rPr>
              <w:t>电子商务师</w:t>
            </w:r>
          </w:p>
        </w:tc>
        <w:tc>
          <w:tcPr>
            <w:tcW w:w="3827" w:type="dxa"/>
            <w:vAlign w:val="center"/>
          </w:tcPr>
          <w:p>
            <w:pPr>
              <w:widowControl/>
              <w:ind w:firstLine="0" w:firstLineChars="0"/>
              <w:jc w:val="left"/>
              <w:rPr>
                <w:sz w:val="18"/>
                <w:szCs w:val="18"/>
              </w:rPr>
            </w:pPr>
            <w:r>
              <w:rPr>
                <w:rFonts w:hint="eastAsia"/>
                <w:sz w:val="18"/>
                <w:szCs w:val="18"/>
              </w:rPr>
              <w:t>学生第1、3、5学期都安排到“揭阳军埔电子商务园区”，进行“工学交替”轮岗实训；</w:t>
            </w:r>
          </w:p>
          <w:p>
            <w:pPr>
              <w:widowControl/>
              <w:ind w:firstLine="0" w:firstLineChars="0"/>
              <w:jc w:val="left"/>
              <w:rPr>
                <w:sz w:val="18"/>
                <w:szCs w:val="18"/>
              </w:rPr>
            </w:pPr>
            <w:r>
              <w:rPr>
                <w:rFonts w:hint="eastAsia"/>
                <w:sz w:val="18"/>
                <w:szCs w:val="18"/>
              </w:rPr>
              <w:t>“工学交替”实训课采用“化整为零”的方式，将学生分派到园区胜木电子商务公司里，采用“实岗育人模式”，学生在各公司各岗位接受师傅一对一指导，提升专业实操技能；</w:t>
            </w:r>
          </w:p>
          <w:p>
            <w:pPr>
              <w:widowControl/>
              <w:ind w:firstLine="0" w:firstLineChars="0"/>
              <w:jc w:val="left"/>
              <w:rPr>
                <w:sz w:val="18"/>
                <w:szCs w:val="18"/>
              </w:rPr>
            </w:pPr>
            <w:r>
              <w:rPr>
                <w:rFonts w:hint="eastAsia"/>
                <w:sz w:val="18"/>
                <w:szCs w:val="18"/>
              </w:rPr>
              <w:t>教师经常接受企业培训，共同开发数字化课程资源；</w:t>
            </w:r>
          </w:p>
          <w:p>
            <w:pPr>
              <w:widowControl/>
              <w:ind w:firstLine="0" w:firstLineChars="0"/>
              <w:jc w:val="left"/>
              <w:rPr>
                <w:sz w:val="18"/>
                <w:szCs w:val="18"/>
              </w:rPr>
            </w:pPr>
            <w:r>
              <w:rPr>
                <w:rFonts w:hint="eastAsia"/>
                <w:sz w:val="18"/>
                <w:szCs w:val="18"/>
              </w:rPr>
              <w:t>在园区定点实习、园区内定点就业。</w:t>
            </w:r>
          </w:p>
        </w:tc>
        <w:tc>
          <w:tcPr>
            <w:tcW w:w="2693" w:type="dxa"/>
            <w:vAlign w:val="center"/>
          </w:tcPr>
          <w:p>
            <w:pPr>
              <w:widowControl/>
              <w:ind w:firstLine="0" w:firstLineChars="0"/>
              <w:jc w:val="left"/>
              <w:rPr>
                <w:sz w:val="18"/>
                <w:szCs w:val="18"/>
              </w:rPr>
            </w:pPr>
            <w:r>
              <w:rPr>
                <w:rFonts w:hint="eastAsia"/>
                <w:sz w:val="18"/>
                <w:szCs w:val="18"/>
              </w:rPr>
              <w:t>学生技能水平高，曾获得省职业院校技能大赛“电子商务”项目一等奖；</w:t>
            </w:r>
          </w:p>
          <w:p>
            <w:pPr>
              <w:widowControl/>
              <w:ind w:firstLine="0" w:firstLineChars="0"/>
              <w:jc w:val="left"/>
              <w:rPr>
                <w:sz w:val="18"/>
                <w:szCs w:val="18"/>
              </w:rPr>
            </w:pPr>
            <w:r>
              <w:rPr>
                <w:rFonts w:hint="eastAsia"/>
                <w:sz w:val="18"/>
                <w:szCs w:val="18"/>
              </w:rPr>
              <w:t>对口就业率达95%以上；</w:t>
            </w:r>
          </w:p>
          <w:p>
            <w:pPr>
              <w:widowControl/>
              <w:ind w:firstLine="0" w:firstLineChars="0"/>
              <w:jc w:val="left"/>
              <w:rPr>
                <w:sz w:val="18"/>
                <w:szCs w:val="18"/>
              </w:rPr>
            </w:pPr>
            <w:r>
              <w:rPr>
                <w:rFonts w:hint="eastAsia"/>
                <w:sz w:val="18"/>
                <w:szCs w:val="18"/>
              </w:rPr>
              <w:t>学徒制特征明显。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5" w:hRule="atLeast"/>
        </w:trPr>
        <w:tc>
          <w:tcPr>
            <w:tcW w:w="578" w:type="dxa"/>
            <w:vAlign w:val="center"/>
          </w:tcPr>
          <w:p>
            <w:pPr>
              <w:widowControl/>
              <w:ind w:firstLine="0" w:firstLineChars="0"/>
              <w:jc w:val="center"/>
              <w:rPr>
                <w:sz w:val="18"/>
                <w:szCs w:val="18"/>
              </w:rPr>
            </w:pPr>
            <w:r>
              <w:rPr>
                <w:rFonts w:hint="eastAsia"/>
                <w:sz w:val="18"/>
                <w:szCs w:val="18"/>
              </w:rPr>
              <w:t>6</w:t>
            </w:r>
          </w:p>
        </w:tc>
        <w:tc>
          <w:tcPr>
            <w:tcW w:w="709" w:type="dxa"/>
            <w:vAlign w:val="center"/>
          </w:tcPr>
          <w:p>
            <w:pPr>
              <w:widowControl/>
              <w:ind w:firstLine="0" w:firstLineChars="0"/>
              <w:jc w:val="center"/>
              <w:rPr>
                <w:sz w:val="18"/>
                <w:szCs w:val="18"/>
              </w:rPr>
            </w:pPr>
            <w:r>
              <w:rPr>
                <w:rFonts w:hint="eastAsia"/>
                <w:sz w:val="18"/>
                <w:szCs w:val="18"/>
              </w:rPr>
              <w:t>揭阳新群海鲜酒楼</w:t>
            </w:r>
          </w:p>
        </w:tc>
        <w:tc>
          <w:tcPr>
            <w:tcW w:w="1276" w:type="dxa"/>
            <w:vAlign w:val="center"/>
          </w:tcPr>
          <w:p>
            <w:pPr>
              <w:widowControl/>
              <w:ind w:firstLine="0" w:firstLineChars="0"/>
              <w:jc w:val="center"/>
              <w:rPr>
                <w:sz w:val="18"/>
                <w:szCs w:val="18"/>
              </w:rPr>
            </w:pPr>
            <w:r>
              <w:rPr>
                <w:rFonts w:hint="eastAsia"/>
                <w:sz w:val="18"/>
                <w:szCs w:val="18"/>
              </w:rPr>
              <w:t>现代学徒制模式</w:t>
            </w:r>
          </w:p>
          <w:p>
            <w:pPr>
              <w:widowControl/>
              <w:ind w:firstLine="0" w:firstLineChars="0"/>
              <w:jc w:val="center"/>
              <w:rPr>
                <w:sz w:val="18"/>
                <w:szCs w:val="18"/>
              </w:rPr>
            </w:pPr>
          </w:p>
        </w:tc>
        <w:tc>
          <w:tcPr>
            <w:tcW w:w="1418" w:type="dxa"/>
            <w:vAlign w:val="center"/>
          </w:tcPr>
          <w:p>
            <w:pPr>
              <w:widowControl/>
              <w:ind w:firstLine="0" w:firstLineChars="0"/>
              <w:jc w:val="center"/>
              <w:rPr>
                <w:sz w:val="18"/>
                <w:szCs w:val="18"/>
              </w:rPr>
            </w:pPr>
            <w:r>
              <w:rPr>
                <w:rFonts w:hint="eastAsia"/>
                <w:sz w:val="18"/>
                <w:szCs w:val="18"/>
              </w:rPr>
              <w:t>酒店餐饮厨师</w:t>
            </w:r>
          </w:p>
        </w:tc>
        <w:tc>
          <w:tcPr>
            <w:tcW w:w="3827" w:type="dxa"/>
            <w:vAlign w:val="center"/>
          </w:tcPr>
          <w:p>
            <w:pPr>
              <w:widowControl/>
              <w:ind w:firstLine="0" w:firstLineChars="0"/>
              <w:jc w:val="left"/>
              <w:rPr>
                <w:sz w:val="18"/>
                <w:szCs w:val="18"/>
              </w:rPr>
            </w:pPr>
            <w:r>
              <w:rPr>
                <w:rFonts w:hint="eastAsia"/>
                <w:sz w:val="18"/>
                <w:szCs w:val="18"/>
              </w:rPr>
              <w:t>1．校企共建实训室和真实经营场所；</w:t>
            </w:r>
          </w:p>
          <w:p>
            <w:pPr>
              <w:widowControl/>
              <w:ind w:firstLine="0" w:firstLineChars="0"/>
              <w:jc w:val="left"/>
              <w:rPr>
                <w:sz w:val="18"/>
                <w:szCs w:val="18"/>
              </w:rPr>
            </w:pPr>
            <w:r>
              <w:rPr>
                <w:rFonts w:hint="eastAsia"/>
                <w:sz w:val="18"/>
                <w:szCs w:val="18"/>
              </w:rPr>
              <w:t>2．企业提供核心课程资源；</w:t>
            </w:r>
          </w:p>
          <w:p>
            <w:pPr>
              <w:widowControl/>
              <w:ind w:firstLine="0" w:firstLineChars="0"/>
              <w:jc w:val="left"/>
              <w:rPr>
                <w:sz w:val="18"/>
                <w:szCs w:val="18"/>
              </w:rPr>
            </w:pPr>
            <w:r>
              <w:rPr>
                <w:rFonts w:hint="eastAsia"/>
                <w:sz w:val="18"/>
                <w:szCs w:val="18"/>
              </w:rPr>
              <w:t>3．学校教师接受企业培训和认证，共同开发教学资源；</w:t>
            </w:r>
          </w:p>
          <w:p>
            <w:pPr>
              <w:widowControl/>
              <w:ind w:firstLine="0" w:firstLineChars="0"/>
              <w:jc w:val="left"/>
              <w:rPr>
                <w:sz w:val="18"/>
                <w:szCs w:val="18"/>
              </w:rPr>
            </w:pPr>
            <w:r>
              <w:rPr>
                <w:rFonts w:hint="eastAsia"/>
                <w:sz w:val="18"/>
                <w:szCs w:val="18"/>
              </w:rPr>
              <w:t>4．师徒帮带方式，校企共同培养学生，学生接受行业认证；</w:t>
            </w:r>
          </w:p>
          <w:p>
            <w:pPr>
              <w:widowControl/>
              <w:ind w:firstLine="0" w:firstLineChars="0"/>
              <w:jc w:val="left"/>
              <w:rPr>
                <w:sz w:val="18"/>
                <w:szCs w:val="18"/>
              </w:rPr>
            </w:pPr>
            <w:r>
              <w:rPr>
                <w:rFonts w:hint="eastAsia"/>
                <w:sz w:val="18"/>
                <w:szCs w:val="18"/>
              </w:rPr>
              <w:t>5．企业负责实习就业安排。</w:t>
            </w:r>
          </w:p>
        </w:tc>
        <w:tc>
          <w:tcPr>
            <w:tcW w:w="2693" w:type="dxa"/>
            <w:vAlign w:val="center"/>
          </w:tcPr>
          <w:p>
            <w:pPr>
              <w:widowControl/>
              <w:ind w:firstLine="0" w:firstLineChars="0"/>
              <w:jc w:val="left"/>
              <w:rPr>
                <w:sz w:val="18"/>
                <w:szCs w:val="18"/>
              </w:rPr>
            </w:pPr>
            <w:r>
              <w:rPr>
                <w:rFonts w:hint="eastAsia"/>
                <w:sz w:val="18"/>
                <w:szCs w:val="18"/>
              </w:rPr>
              <w:t>1．学生连续多年100%对口就业；</w:t>
            </w:r>
          </w:p>
          <w:p>
            <w:pPr>
              <w:widowControl/>
              <w:ind w:firstLine="0" w:firstLineChars="0"/>
              <w:jc w:val="left"/>
              <w:rPr>
                <w:sz w:val="18"/>
                <w:szCs w:val="18"/>
              </w:rPr>
            </w:pPr>
            <w:r>
              <w:rPr>
                <w:rFonts w:hint="eastAsia"/>
                <w:sz w:val="18"/>
                <w:szCs w:val="18"/>
              </w:rPr>
              <w:t>2．在校企合作评估中名列前茅，胜过同期与榕江大酒店合作的其他职校；</w:t>
            </w:r>
          </w:p>
          <w:p>
            <w:pPr>
              <w:widowControl/>
              <w:ind w:firstLine="0" w:firstLineChars="0"/>
              <w:jc w:val="left"/>
              <w:rPr>
                <w:sz w:val="18"/>
                <w:szCs w:val="18"/>
              </w:rPr>
            </w:pPr>
            <w:r>
              <w:rPr>
                <w:rFonts w:hint="eastAsia"/>
                <w:sz w:val="18"/>
                <w:szCs w:val="18"/>
              </w:rPr>
              <w:t>3．校企深度合作、效果明显。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widowControl/>
              <w:ind w:firstLine="0" w:firstLineChars="0"/>
              <w:jc w:val="center"/>
              <w:rPr>
                <w:sz w:val="18"/>
                <w:szCs w:val="18"/>
              </w:rPr>
            </w:pPr>
            <w:r>
              <w:rPr>
                <w:rFonts w:hint="eastAsia"/>
                <w:sz w:val="18"/>
                <w:szCs w:val="18"/>
              </w:rPr>
              <w:t>7</w:t>
            </w:r>
          </w:p>
        </w:tc>
        <w:tc>
          <w:tcPr>
            <w:tcW w:w="709" w:type="dxa"/>
            <w:vAlign w:val="center"/>
          </w:tcPr>
          <w:p>
            <w:pPr>
              <w:widowControl/>
              <w:ind w:firstLine="0" w:firstLineChars="0"/>
              <w:jc w:val="center"/>
              <w:rPr>
                <w:sz w:val="18"/>
                <w:szCs w:val="18"/>
              </w:rPr>
            </w:pPr>
            <w:r>
              <w:rPr>
                <w:rFonts w:hint="eastAsia"/>
                <w:sz w:val="18"/>
                <w:szCs w:val="18"/>
              </w:rPr>
              <w:t>东莞宝马电梯</w:t>
            </w:r>
          </w:p>
          <w:p>
            <w:pPr>
              <w:widowControl/>
              <w:ind w:firstLine="0" w:firstLineChars="0"/>
              <w:jc w:val="center"/>
              <w:rPr>
                <w:sz w:val="18"/>
                <w:szCs w:val="18"/>
              </w:rPr>
            </w:pPr>
            <w:r>
              <w:rPr>
                <w:rFonts w:hint="eastAsia"/>
                <w:sz w:val="18"/>
                <w:szCs w:val="18"/>
              </w:rPr>
              <w:t>公司</w:t>
            </w:r>
          </w:p>
        </w:tc>
        <w:tc>
          <w:tcPr>
            <w:tcW w:w="1276" w:type="dxa"/>
            <w:vAlign w:val="center"/>
          </w:tcPr>
          <w:p>
            <w:pPr>
              <w:widowControl/>
              <w:ind w:firstLine="0" w:firstLineChars="0"/>
              <w:jc w:val="center"/>
              <w:rPr>
                <w:sz w:val="18"/>
                <w:szCs w:val="18"/>
              </w:rPr>
            </w:pPr>
            <w:r>
              <w:rPr>
                <w:rFonts w:hint="eastAsia"/>
                <w:sz w:val="18"/>
                <w:szCs w:val="18"/>
              </w:rPr>
              <w:t>实训基地</w:t>
            </w:r>
          </w:p>
          <w:p>
            <w:pPr>
              <w:widowControl/>
              <w:ind w:firstLine="0" w:firstLineChars="0"/>
              <w:jc w:val="center"/>
              <w:rPr>
                <w:sz w:val="18"/>
                <w:szCs w:val="18"/>
              </w:rPr>
            </w:pPr>
            <w:r>
              <w:rPr>
                <w:rFonts w:hint="eastAsia"/>
                <w:sz w:val="18"/>
                <w:szCs w:val="18"/>
              </w:rPr>
              <w:t>模式</w:t>
            </w:r>
          </w:p>
          <w:p>
            <w:pPr>
              <w:widowControl/>
              <w:ind w:firstLine="0" w:firstLineChars="0"/>
              <w:jc w:val="center"/>
              <w:rPr>
                <w:sz w:val="18"/>
                <w:szCs w:val="18"/>
              </w:rPr>
            </w:pPr>
          </w:p>
          <w:p>
            <w:pPr>
              <w:widowControl/>
              <w:ind w:firstLine="0" w:firstLineChars="0"/>
              <w:jc w:val="center"/>
              <w:rPr>
                <w:sz w:val="18"/>
                <w:szCs w:val="18"/>
              </w:rPr>
            </w:pPr>
            <w:r>
              <w:rPr>
                <w:rFonts w:hint="eastAsia"/>
                <w:sz w:val="18"/>
                <w:szCs w:val="18"/>
              </w:rPr>
              <w:t>先学后训</w:t>
            </w:r>
          </w:p>
        </w:tc>
        <w:tc>
          <w:tcPr>
            <w:tcW w:w="1418" w:type="dxa"/>
            <w:vAlign w:val="center"/>
          </w:tcPr>
          <w:p>
            <w:pPr>
              <w:widowControl/>
              <w:ind w:firstLine="0" w:firstLineChars="0"/>
              <w:jc w:val="center"/>
              <w:rPr>
                <w:sz w:val="18"/>
                <w:szCs w:val="18"/>
              </w:rPr>
            </w:pPr>
            <w:r>
              <w:rPr>
                <w:rFonts w:hint="eastAsia"/>
                <w:sz w:val="18"/>
                <w:szCs w:val="18"/>
              </w:rPr>
              <w:t>电梯安装维护技术员</w:t>
            </w:r>
          </w:p>
        </w:tc>
        <w:tc>
          <w:tcPr>
            <w:tcW w:w="3827" w:type="dxa"/>
            <w:vAlign w:val="center"/>
          </w:tcPr>
          <w:p>
            <w:pPr>
              <w:widowControl/>
              <w:ind w:firstLine="0" w:firstLineChars="0"/>
              <w:jc w:val="left"/>
              <w:rPr>
                <w:sz w:val="18"/>
                <w:szCs w:val="18"/>
              </w:rPr>
            </w:pPr>
            <w:r>
              <w:rPr>
                <w:rFonts w:hint="eastAsia"/>
                <w:sz w:val="18"/>
                <w:szCs w:val="18"/>
              </w:rPr>
              <w:t>1．校企共建“校外吉荣专班电梯实训室”，校企共同使用，既做为学生实训室，也做为企业员工培训室；</w:t>
            </w:r>
          </w:p>
          <w:p>
            <w:pPr>
              <w:widowControl/>
              <w:ind w:firstLine="0" w:firstLineChars="0"/>
              <w:jc w:val="left"/>
              <w:rPr>
                <w:sz w:val="18"/>
                <w:szCs w:val="18"/>
              </w:rPr>
            </w:pPr>
            <w:r>
              <w:rPr>
                <w:rFonts w:hint="eastAsia"/>
                <w:sz w:val="18"/>
                <w:szCs w:val="18"/>
              </w:rPr>
              <w:t>2．企业师傅进驻实训室，既参与学校教学也培训企业员工。</w:t>
            </w:r>
          </w:p>
          <w:p>
            <w:pPr>
              <w:widowControl/>
              <w:ind w:firstLine="0" w:firstLineChars="0"/>
              <w:jc w:val="left"/>
              <w:rPr>
                <w:sz w:val="18"/>
                <w:szCs w:val="18"/>
              </w:rPr>
            </w:pPr>
            <w:r>
              <w:rPr>
                <w:rFonts w:hint="eastAsia"/>
                <w:sz w:val="18"/>
                <w:szCs w:val="18"/>
              </w:rPr>
              <w:t>3．学校教师接受企业培训，共同开发教学资源；</w:t>
            </w:r>
          </w:p>
          <w:p>
            <w:pPr>
              <w:widowControl/>
              <w:ind w:firstLine="0" w:firstLineChars="0"/>
              <w:jc w:val="left"/>
              <w:rPr>
                <w:sz w:val="18"/>
                <w:szCs w:val="18"/>
              </w:rPr>
            </w:pPr>
            <w:r>
              <w:rPr>
                <w:rFonts w:hint="eastAsia"/>
                <w:sz w:val="18"/>
                <w:szCs w:val="18"/>
              </w:rPr>
              <w:t>4．校企共同培养学生，学生接受行业认证；</w:t>
            </w:r>
          </w:p>
          <w:p>
            <w:pPr>
              <w:widowControl/>
              <w:ind w:firstLine="0" w:firstLineChars="0"/>
              <w:jc w:val="left"/>
              <w:rPr>
                <w:sz w:val="18"/>
                <w:szCs w:val="18"/>
              </w:rPr>
            </w:pPr>
            <w:r>
              <w:rPr>
                <w:rFonts w:hint="eastAsia"/>
                <w:sz w:val="18"/>
                <w:szCs w:val="18"/>
              </w:rPr>
              <w:t>企业负责实习安排、择优录用。</w:t>
            </w:r>
          </w:p>
        </w:tc>
        <w:tc>
          <w:tcPr>
            <w:tcW w:w="2693" w:type="dxa"/>
            <w:vAlign w:val="center"/>
          </w:tcPr>
          <w:p>
            <w:pPr>
              <w:widowControl/>
              <w:ind w:firstLine="0" w:firstLineChars="0"/>
              <w:jc w:val="left"/>
              <w:rPr>
                <w:sz w:val="18"/>
                <w:szCs w:val="18"/>
              </w:rPr>
            </w:pPr>
            <w:r>
              <w:rPr>
                <w:rFonts w:hint="eastAsia"/>
                <w:sz w:val="18"/>
                <w:szCs w:val="18"/>
              </w:rPr>
              <w:t>1．学生技能水平高，电梯行业认证通过率高达95%；</w:t>
            </w:r>
          </w:p>
          <w:p>
            <w:pPr>
              <w:widowControl/>
              <w:ind w:firstLine="0" w:firstLineChars="0"/>
              <w:jc w:val="left"/>
              <w:rPr>
                <w:sz w:val="18"/>
                <w:szCs w:val="18"/>
              </w:rPr>
            </w:pPr>
            <w:r>
              <w:rPr>
                <w:rFonts w:hint="eastAsia"/>
                <w:sz w:val="18"/>
                <w:szCs w:val="18"/>
              </w:rPr>
              <w:t>2．对口就业率达98%以上；</w:t>
            </w:r>
          </w:p>
          <w:p>
            <w:pPr>
              <w:widowControl/>
              <w:ind w:firstLine="0" w:firstLineChars="0"/>
              <w:jc w:val="left"/>
              <w:rPr>
                <w:sz w:val="18"/>
                <w:szCs w:val="18"/>
              </w:rPr>
            </w:pPr>
            <w:r>
              <w:rPr>
                <w:rFonts w:hint="eastAsia"/>
                <w:sz w:val="18"/>
                <w:szCs w:val="18"/>
              </w:rPr>
              <w:t>3．学徒制特征明显。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2" w:hRule="atLeast"/>
        </w:trPr>
        <w:tc>
          <w:tcPr>
            <w:tcW w:w="578" w:type="dxa"/>
            <w:vAlign w:val="center"/>
          </w:tcPr>
          <w:p>
            <w:pPr>
              <w:widowControl/>
              <w:ind w:firstLine="0" w:firstLineChars="0"/>
              <w:jc w:val="center"/>
              <w:rPr>
                <w:sz w:val="18"/>
                <w:szCs w:val="18"/>
              </w:rPr>
            </w:pPr>
            <w:r>
              <w:rPr>
                <w:rFonts w:hint="eastAsia"/>
                <w:sz w:val="18"/>
                <w:szCs w:val="18"/>
              </w:rPr>
              <w:t>8</w:t>
            </w:r>
          </w:p>
        </w:tc>
        <w:tc>
          <w:tcPr>
            <w:tcW w:w="709" w:type="dxa"/>
            <w:vAlign w:val="center"/>
          </w:tcPr>
          <w:p>
            <w:pPr>
              <w:widowControl/>
              <w:ind w:firstLine="0" w:firstLineChars="0"/>
              <w:jc w:val="center"/>
              <w:rPr>
                <w:sz w:val="18"/>
                <w:szCs w:val="18"/>
              </w:rPr>
            </w:pPr>
          </w:p>
          <w:p>
            <w:pPr>
              <w:widowControl/>
              <w:ind w:firstLine="0" w:firstLineChars="0"/>
              <w:jc w:val="center"/>
              <w:rPr>
                <w:sz w:val="18"/>
                <w:szCs w:val="18"/>
              </w:rPr>
            </w:pPr>
            <w:r>
              <w:rPr>
                <w:rFonts w:hint="eastAsia"/>
                <w:sz w:val="18"/>
                <w:szCs w:val="18"/>
              </w:rPr>
              <w:t>榕城中心幼儿园</w:t>
            </w:r>
          </w:p>
        </w:tc>
        <w:tc>
          <w:tcPr>
            <w:tcW w:w="1276" w:type="dxa"/>
            <w:vAlign w:val="center"/>
          </w:tcPr>
          <w:p>
            <w:pPr>
              <w:widowControl/>
              <w:ind w:firstLine="0" w:firstLineChars="0"/>
              <w:jc w:val="center"/>
              <w:rPr>
                <w:sz w:val="18"/>
                <w:szCs w:val="18"/>
              </w:rPr>
            </w:pPr>
          </w:p>
          <w:p>
            <w:pPr>
              <w:widowControl/>
              <w:ind w:firstLine="0" w:firstLineChars="0"/>
              <w:jc w:val="center"/>
              <w:rPr>
                <w:sz w:val="18"/>
                <w:szCs w:val="18"/>
              </w:rPr>
            </w:pPr>
            <w:r>
              <w:rPr>
                <w:rFonts w:hint="eastAsia"/>
                <w:sz w:val="18"/>
                <w:szCs w:val="18"/>
              </w:rPr>
              <w:t>实训基地</w:t>
            </w:r>
          </w:p>
          <w:p>
            <w:pPr>
              <w:widowControl/>
              <w:ind w:firstLine="0" w:firstLineChars="0"/>
              <w:jc w:val="center"/>
              <w:rPr>
                <w:sz w:val="18"/>
                <w:szCs w:val="18"/>
              </w:rPr>
            </w:pPr>
            <w:r>
              <w:rPr>
                <w:rFonts w:hint="eastAsia"/>
                <w:sz w:val="18"/>
                <w:szCs w:val="18"/>
              </w:rPr>
              <w:t>模式</w:t>
            </w:r>
          </w:p>
          <w:p>
            <w:pPr>
              <w:widowControl/>
              <w:ind w:firstLine="0" w:firstLineChars="0"/>
              <w:jc w:val="center"/>
              <w:rPr>
                <w:sz w:val="18"/>
                <w:szCs w:val="18"/>
              </w:rPr>
            </w:pPr>
          </w:p>
          <w:p>
            <w:pPr>
              <w:widowControl/>
              <w:ind w:firstLine="0" w:firstLineChars="0"/>
              <w:jc w:val="center"/>
              <w:rPr>
                <w:sz w:val="18"/>
                <w:szCs w:val="18"/>
              </w:rPr>
            </w:pPr>
            <w:r>
              <w:rPr>
                <w:rFonts w:hint="eastAsia"/>
                <w:sz w:val="18"/>
                <w:szCs w:val="18"/>
              </w:rPr>
              <w:t>先学后训</w:t>
            </w:r>
          </w:p>
        </w:tc>
        <w:tc>
          <w:tcPr>
            <w:tcW w:w="1418" w:type="dxa"/>
            <w:vAlign w:val="center"/>
          </w:tcPr>
          <w:p>
            <w:pPr>
              <w:widowControl/>
              <w:ind w:firstLine="0" w:firstLineChars="0"/>
              <w:jc w:val="center"/>
              <w:rPr>
                <w:sz w:val="18"/>
                <w:szCs w:val="18"/>
              </w:rPr>
            </w:pPr>
          </w:p>
          <w:p>
            <w:pPr>
              <w:widowControl/>
              <w:ind w:firstLine="0" w:firstLineChars="0"/>
              <w:jc w:val="center"/>
              <w:rPr>
                <w:sz w:val="18"/>
                <w:szCs w:val="18"/>
              </w:rPr>
            </w:pPr>
            <w:r>
              <w:rPr>
                <w:rFonts w:hint="eastAsia"/>
                <w:sz w:val="18"/>
                <w:szCs w:val="18"/>
              </w:rPr>
              <w:t>幼师 保育员</w:t>
            </w:r>
          </w:p>
        </w:tc>
        <w:tc>
          <w:tcPr>
            <w:tcW w:w="3827" w:type="dxa"/>
            <w:vAlign w:val="center"/>
          </w:tcPr>
          <w:p>
            <w:pPr>
              <w:widowControl/>
              <w:ind w:firstLine="0" w:firstLineChars="0"/>
              <w:jc w:val="left"/>
              <w:rPr>
                <w:sz w:val="18"/>
                <w:szCs w:val="18"/>
              </w:rPr>
            </w:pPr>
            <w:r>
              <w:rPr>
                <w:rFonts w:hint="eastAsia"/>
                <w:sz w:val="18"/>
                <w:szCs w:val="18"/>
              </w:rPr>
              <w:t>校企共建“校外实训基地”，开创实习实训就业一体教学模式；</w:t>
            </w:r>
          </w:p>
          <w:p>
            <w:pPr>
              <w:widowControl/>
              <w:ind w:firstLine="0" w:firstLineChars="0"/>
              <w:jc w:val="left"/>
              <w:rPr>
                <w:sz w:val="18"/>
                <w:szCs w:val="18"/>
              </w:rPr>
            </w:pPr>
            <w:r>
              <w:rPr>
                <w:rFonts w:hint="eastAsia"/>
                <w:sz w:val="18"/>
                <w:szCs w:val="18"/>
              </w:rPr>
              <w:t>教师采用跟班助教形式接受幼儿园培训，共同开发实训实习实操课程；</w:t>
            </w:r>
          </w:p>
          <w:p>
            <w:pPr>
              <w:widowControl/>
              <w:ind w:firstLine="0" w:firstLineChars="0"/>
              <w:jc w:val="left"/>
              <w:rPr>
                <w:sz w:val="18"/>
                <w:szCs w:val="18"/>
              </w:rPr>
            </w:pPr>
            <w:r>
              <w:rPr>
                <w:rFonts w:hint="eastAsia"/>
                <w:sz w:val="18"/>
                <w:szCs w:val="18"/>
              </w:rPr>
              <w:t>企业协助实习安排、推荐就业。</w:t>
            </w:r>
          </w:p>
        </w:tc>
        <w:tc>
          <w:tcPr>
            <w:tcW w:w="2693" w:type="dxa"/>
            <w:vAlign w:val="center"/>
          </w:tcPr>
          <w:p>
            <w:pPr>
              <w:widowControl/>
              <w:ind w:firstLine="0" w:firstLineChars="0"/>
              <w:jc w:val="left"/>
              <w:rPr>
                <w:sz w:val="18"/>
                <w:szCs w:val="18"/>
              </w:rPr>
            </w:pPr>
            <w:r>
              <w:rPr>
                <w:rFonts w:hint="eastAsia"/>
                <w:sz w:val="18"/>
                <w:szCs w:val="18"/>
              </w:rPr>
              <w:t>学生专业技能强，对口就业高；</w:t>
            </w:r>
          </w:p>
          <w:p>
            <w:pPr>
              <w:widowControl/>
              <w:ind w:firstLine="0" w:firstLineChars="0"/>
              <w:jc w:val="left"/>
              <w:rPr>
                <w:sz w:val="18"/>
                <w:szCs w:val="18"/>
              </w:rPr>
            </w:pPr>
            <w:r>
              <w:rPr>
                <w:rFonts w:hint="eastAsia"/>
                <w:sz w:val="18"/>
                <w:szCs w:val="18"/>
              </w:rPr>
              <w:t>学生不仅熟练掌握幼儿教学业务；</w:t>
            </w:r>
          </w:p>
          <w:p>
            <w:pPr>
              <w:widowControl/>
              <w:ind w:firstLine="0" w:firstLineChars="0"/>
              <w:jc w:val="left"/>
              <w:rPr>
                <w:sz w:val="18"/>
                <w:szCs w:val="18"/>
              </w:rPr>
            </w:pPr>
            <w:r>
              <w:rPr>
                <w:rFonts w:hint="eastAsia"/>
                <w:sz w:val="18"/>
                <w:szCs w:val="18"/>
              </w:rPr>
              <w:t>产教融合、效果明显。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6" w:hRule="atLeast"/>
        </w:trPr>
        <w:tc>
          <w:tcPr>
            <w:tcW w:w="578" w:type="dxa"/>
            <w:vAlign w:val="center"/>
          </w:tcPr>
          <w:p>
            <w:pPr>
              <w:widowControl/>
              <w:ind w:firstLine="0" w:firstLineChars="0"/>
              <w:jc w:val="center"/>
              <w:rPr>
                <w:sz w:val="18"/>
                <w:szCs w:val="18"/>
              </w:rPr>
            </w:pPr>
            <w:r>
              <w:rPr>
                <w:rFonts w:hint="eastAsia"/>
                <w:sz w:val="18"/>
                <w:szCs w:val="18"/>
              </w:rPr>
              <w:t>9</w:t>
            </w:r>
          </w:p>
        </w:tc>
        <w:tc>
          <w:tcPr>
            <w:tcW w:w="709" w:type="dxa"/>
            <w:vAlign w:val="center"/>
          </w:tcPr>
          <w:p>
            <w:pPr>
              <w:widowControl/>
              <w:ind w:firstLine="0" w:firstLineChars="0"/>
              <w:jc w:val="center"/>
              <w:rPr>
                <w:sz w:val="18"/>
                <w:szCs w:val="18"/>
              </w:rPr>
            </w:pPr>
            <w:r>
              <w:rPr>
                <w:rFonts w:hint="eastAsia"/>
                <w:sz w:val="18"/>
                <w:szCs w:val="18"/>
              </w:rPr>
              <w:t>广东宏光镀膜玻璃有限公司</w:t>
            </w:r>
          </w:p>
        </w:tc>
        <w:tc>
          <w:tcPr>
            <w:tcW w:w="1276" w:type="dxa"/>
            <w:vAlign w:val="center"/>
          </w:tcPr>
          <w:p>
            <w:pPr>
              <w:widowControl/>
              <w:ind w:firstLine="0" w:firstLineChars="0"/>
              <w:jc w:val="center"/>
              <w:rPr>
                <w:sz w:val="18"/>
                <w:szCs w:val="18"/>
              </w:rPr>
            </w:pPr>
          </w:p>
          <w:p>
            <w:pPr>
              <w:widowControl/>
              <w:ind w:firstLine="0" w:firstLineChars="0"/>
              <w:jc w:val="center"/>
              <w:rPr>
                <w:sz w:val="18"/>
                <w:szCs w:val="18"/>
              </w:rPr>
            </w:pPr>
            <w:r>
              <w:rPr>
                <w:rFonts w:hint="eastAsia"/>
                <w:sz w:val="18"/>
                <w:szCs w:val="18"/>
              </w:rPr>
              <w:t>实训基地</w:t>
            </w:r>
          </w:p>
          <w:p>
            <w:pPr>
              <w:widowControl/>
              <w:ind w:firstLine="0" w:firstLineChars="0"/>
              <w:jc w:val="center"/>
              <w:rPr>
                <w:sz w:val="18"/>
                <w:szCs w:val="18"/>
              </w:rPr>
            </w:pPr>
            <w:r>
              <w:rPr>
                <w:rFonts w:hint="eastAsia"/>
                <w:sz w:val="18"/>
                <w:szCs w:val="18"/>
              </w:rPr>
              <w:t>模式</w:t>
            </w:r>
          </w:p>
          <w:p>
            <w:pPr>
              <w:widowControl/>
              <w:ind w:firstLine="0" w:firstLineChars="0"/>
              <w:jc w:val="center"/>
              <w:rPr>
                <w:sz w:val="18"/>
                <w:szCs w:val="18"/>
              </w:rPr>
            </w:pPr>
          </w:p>
          <w:p>
            <w:pPr>
              <w:widowControl/>
              <w:ind w:firstLine="0" w:firstLineChars="0"/>
              <w:jc w:val="center"/>
              <w:rPr>
                <w:sz w:val="18"/>
                <w:szCs w:val="18"/>
              </w:rPr>
            </w:pPr>
            <w:r>
              <w:rPr>
                <w:rFonts w:hint="eastAsia"/>
                <w:sz w:val="18"/>
                <w:szCs w:val="18"/>
              </w:rPr>
              <w:t>先学后训</w:t>
            </w:r>
          </w:p>
        </w:tc>
        <w:tc>
          <w:tcPr>
            <w:tcW w:w="1418" w:type="dxa"/>
            <w:vAlign w:val="center"/>
          </w:tcPr>
          <w:p>
            <w:pPr>
              <w:widowControl/>
              <w:ind w:firstLine="0" w:firstLineChars="0"/>
              <w:jc w:val="center"/>
              <w:rPr>
                <w:sz w:val="18"/>
                <w:szCs w:val="18"/>
              </w:rPr>
            </w:pPr>
            <w:r>
              <w:rPr>
                <w:rFonts w:hint="eastAsia"/>
                <w:sz w:val="18"/>
                <w:szCs w:val="18"/>
              </w:rPr>
              <w:t>数控技术操作员</w:t>
            </w:r>
          </w:p>
        </w:tc>
        <w:tc>
          <w:tcPr>
            <w:tcW w:w="3827" w:type="dxa"/>
            <w:vAlign w:val="center"/>
          </w:tcPr>
          <w:p>
            <w:pPr>
              <w:widowControl/>
              <w:ind w:firstLine="0" w:firstLineChars="0"/>
              <w:jc w:val="left"/>
              <w:rPr>
                <w:sz w:val="18"/>
                <w:szCs w:val="18"/>
              </w:rPr>
            </w:pPr>
            <w:r>
              <w:rPr>
                <w:rFonts w:hint="eastAsia"/>
                <w:sz w:val="18"/>
                <w:szCs w:val="18"/>
              </w:rPr>
              <w:t>1．校企共建“校外宏光专班实训基地”，校企共同使用，既做为学生实训基地，也做为企业员工培训基地；</w:t>
            </w:r>
          </w:p>
          <w:p>
            <w:pPr>
              <w:widowControl/>
              <w:ind w:firstLine="0" w:firstLineChars="0"/>
              <w:jc w:val="left"/>
              <w:rPr>
                <w:sz w:val="18"/>
                <w:szCs w:val="18"/>
              </w:rPr>
            </w:pPr>
            <w:r>
              <w:rPr>
                <w:rFonts w:hint="eastAsia"/>
                <w:sz w:val="18"/>
                <w:szCs w:val="18"/>
              </w:rPr>
              <w:t>2．企业师傅进驻实训基地，既参与学校教学也培训企业员工；</w:t>
            </w:r>
          </w:p>
          <w:p>
            <w:pPr>
              <w:widowControl/>
              <w:ind w:firstLine="0" w:firstLineChars="0"/>
              <w:jc w:val="left"/>
              <w:rPr>
                <w:sz w:val="18"/>
                <w:szCs w:val="18"/>
              </w:rPr>
            </w:pPr>
            <w:r>
              <w:rPr>
                <w:rFonts w:hint="eastAsia"/>
                <w:sz w:val="18"/>
                <w:szCs w:val="18"/>
              </w:rPr>
              <w:t>3．学校教师接受企业培训，共同开发教学资源；</w:t>
            </w:r>
          </w:p>
          <w:p>
            <w:pPr>
              <w:widowControl/>
              <w:ind w:firstLine="0" w:firstLineChars="0"/>
              <w:jc w:val="left"/>
              <w:rPr>
                <w:sz w:val="18"/>
                <w:szCs w:val="18"/>
              </w:rPr>
            </w:pPr>
            <w:r>
              <w:rPr>
                <w:rFonts w:hint="eastAsia"/>
                <w:sz w:val="18"/>
                <w:szCs w:val="18"/>
              </w:rPr>
              <w:t>4．校企共同培养学生，学生接受行业认证；</w:t>
            </w:r>
          </w:p>
          <w:p>
            <w:pPr>
              <w:widowControl/>
              <w:ind w:firstLine="0" w:firstLineChars="0"/>
              <w:jc w:val="left"/>
              <w:rPr>
                <w:sz w:val="18"/>
                <w:szCs w:val="18"/>
              </w:rPr>
            </w:pPr>
            <w:r>
              <w:rPr>
                <w:rFonts w:hint="eastAsia"/>
                <w:sz w:val="18"/>
                <w:szCs w:val="18"/>
              </w:rPr>
              <w:t>5．企业负责实习安排、择优录用。</w:t>
            </w:r>
          </w:p>
        </w:tc>
        <w:tc>
          <w:tcPr>
            <w:tcW w:w="2693" w:type="dxa"/>
            <w:vAlign w:val="center"/>
          </w:tcPr>
          <w:p>
            <w:pPr>
              <w:widowControl/>
              <w:ind w:firstLine="0" w:firstLineChars="0"/>
              <w:jc w:val="left"/>
              <w:rPr>
                <w:sz w:val="18"/>
                <w:szCs w:val="18"/>
              </w:rPr>
            </w:pPr>
            <w:r>
              <w:rPr>
                <w:rFonts w:hint="eastAsia"/>
                <w:sz w:val="18"/>
                <w:szCs w:val="18"/>
              </w:rPr>
              <w:t>1．学生技能水平高，数控行业认证通过率高达95%；</w:t>
            </w:r>
          </w:p>
          <w:p>
            <w:pPr>
              <w:widowControl/>
              <w:ind w:firstLine="0" w:firstLineChars="0"/>
              <w:jc w:val="left"/>
              <w:rPr>
                <w:sz w:val="18"/>
                <w:szCs w:val="18"/>
              </w:rPr>
            </w:pPr>
            <w:r>
              <w:rPr>
                <w:rFonts w:hint="eastAsia"/>
                <w:sz w:val="18"/>
                <w:szCs w:val="18"/>
              </w:rPr>
              <w:t>2．对口就业率达98%以上；</w:t>
            </w:r>
          </w:p>
          <w:p>
            <w:pPr>
              <w:widowControl/>
              <w:ind w:firstLine="0" w:firstLineChars="0"/>
              <w:jc w:val="left"/>
              <w:rPr>
                <w:sz w:val="18"/>
                <w:szCs w:val="18"/>
              </w:rPr>
            </w:pPr>
            <w:r>
              <w:rPr>
                <w:rFonts w:hint="eastAsia"/>
                <w:sz w:val="18"/>
                <w:szCs w:val="18"/>
              </w:rPr>
              <w:t>3．学徒制特征明显。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9" w:hRule="atLeast"/>
        </w:trPr>
        <w:tc>
          <w:tcPr>
            <w:tcW w:w="578" w:type="dxa"/>
            <w:vAlign w:val="center"/>
          </w:tcPr>
          <w:p>
            <w:pPr>
              <w:widowControl/>
              <w:ind w:firstLine="0" w:firstLineChars="0"/>
              <w:jc w:val="center"/>
              <w:rPr>
                <w:sz w:val="18"/>
                <w:szCs w:val="18"/>
              </w:rPr>
            </w:pPr>
            <w:r>
              <w:rPr>
                <w:rFonts w:hint="eastAsia"/>
                <w:sz w:val="18"/>
                <w:szCs w:val="18"/>
              </w:rPr>
              <w:t>10</w:t>
            </w:r>
          </w:p>
        </w:tc>
        <w:tc>
          <w:tcPr>
            <w:tcW w:w="709" w:type="dxa"/>
            <w:vAlign w:val="center"/>
          </w:tcPr>
          <w:p>
            <w:pPr>
              <w:widowControl/>
              <w:ind w:firstLine="0" w:firstLineChars="0"/>
              <w:jc w:val="center"/>
              <w:rPr>
                <w:sz w:val="18"/>
                <w:szCs w:val="18"/>
              </w:rPr>
            </w:pPr>
            <w:r>
              <w:rPr>
                <w:rFonts w:hint="eastAsia"/>
                <w:sz w:val="18"/>
                <w:szCs w:val="18"/>
              </w:rPr>
              <w:t>揭阳聚源4S汽车专卖店</w:t>
            </w:r>
          </w:p>
        </w:tc>
        <w:tc>
          <w:tcPr>
            <w:tcW w:w="1276" w:type="dxa"/>
            <w:vAlign w:val="center"/>
          </w:tcPr>
          <w:p>
            <w:pPr>
              <w:widowControl/>
              <w:ind w:firstLine="0" w:firstLineChars="0"/>
              <w:jc w:val="center"/>
              <w:rPr>
                <w:sz w:val="18"/>
                <w:szCs w:val="18"/>
              </w:rPr>
            </w:pPr>
            <w:r>
              <w:rPr>
                <w:rFonts w:hint="eastAsia"/>
                <w:sz w:val="18"/>
                <w:szCs w:val="18"/>
              </w:rPr>
              <w:t>实训基地</w:t>
            </w:r>
          </w:p>
          <w:p>
            <w:pPr>
              <w:widowControl/>
              <w:ind w:firstLine="0" w:firstLineChars="0"/>
              <w:jc w:val="center"/>
              <w:rPr>
                <w:sz w:val="18"/>
                <w:szCs w:val="18"/>
              </w:rPr>
            </w:pPr>
            <w:r>
              <w:rPr>
                <w:rFonts w:hint="eastAsia"/>
                <w:sz w:val="18"/>
                <w:szCs w:val="18"/>
              </w:rPr>
              <w:t>模式</w:t>
            </w:r>
          </w:p>
          <w:p>
            <w:pPr>
              <w:widowControl/>
              <w:ind w:firstLine="0" w:firstLineChars="0"/>
              <w:jc w:val="center"/>
              <w:rPr>
                <w:sz w:val="18"/>
                <w:szCs w:val="18"/>
              </w:rPr>
            </w:pPr>
          </w:p>
          <w:p>
            <w:pPr>
              <w:widowControl/>
              <w:ind w:firstLine="0" w:firstLineChars="0"/>
              <w:jc w:val="center"/>
              <w:rPr>
                <w:sz w:val="18"/>
                <w:szCs w:val="18"/>
              </w:rPr>
            </w:pPr>
            <w:r>
              <w:rPr>
                <w:rFonts w:hint="eastAsia"/>
                <w:sz w:val="18"/>
                <w:szCs w:val="18"/>
              </w:rPr>
              <w:t>先学后训</w:t>
            </w:r>
          </w:p>
        </w:tc>
        <w:tc>
          <w:tcPr>
            <w:tcW w:w="1418" w:type="dxa"/>
            <w:vAlign w:val="center"/>
          </w:tcPr>
          <w:p>
            <w:pPr>
              <w:widowControl/>
              <w:ind w:firstLine="0" w:firstLineChars="0"/>
              <w:jc w:val="center"/>
              <w:rPr>
                <w:sz w:val="18"/>
                <w:szCs w:val="18"/>
              </w:rPr>
            </w:pPr>
            <w:r>
              <w:rPr>
                <w:rFonts w:hint="eastAsia"/>
                <w:sz w:val="18"/>
                <w:szCs w:val="18"/>
              </w:rPr>
              <w:t>汽车维修工</w:t>
            </w:r>
          </w:p>
          <w:p>
            <w:pPr>
              <w:widowControl/>
              <w:ind w:firstLine="0" w:firstLineChars="0"/>
              <w:jc w:val="center"/>
              <w:rPr>
                <w:sz w:val="18"/>
                <w:szCs w:val="18"/>
              </w:rPr>
            </w:pPr>
            <w:r>
              <w:rPr>
                <w:rFonts w:hint="eastAsia"/>
                <w:sz w:val="18"/>
                <w:szCs w:val="18"/>
              </w:rPr>
              <w:t>汽车销售员</w:t>
            </w:r>
          </w:p>
        </w:tc>
        <w:tc>
          <w:tcPr>
            <w:tcW w:w="3827" w:type="dxa"/>
            <w:vAlign w:val="center"/>
          </w:tcPr>
          <w:p>
            <w:pPr>
              <w:widowControl/>
              <w:ind w:firstLine="0" w:firstLineChars="0"/>
              <w:jc w:val="left"/>
              <w:rPr>
                <w:sz w:val="18"/>
                <w:szCs w:val="18"/>
              </w:rPr>
            </w:pPr>
            <w:r>
              <w:rPr>
                <w:rFonts w:hint="eastAsia"/>
                <w:sz w:val="18"/>
                <w:szCs w:val="18"/>
              </w:rPr>
              <w:t>校企共建聚源4S汽车专业实训基地；</w:t>
            </w:r>
          </w:p>
          <w:p>
            <w:pPr>
              <w:widowControl/>
              <w:ind w:firstLine="0" w:firstLineChars="0"/>
              <w:jc w:val="left"/>
              <w:rPr>
                <w:sz w:val="18"/>
                <w:szCs w:val="18"/>
              </w:rPr>
            </w:pPr>
            <w:r>
              <w:rPr>
                <w:rFonts w:hint="eastAsia"/>
                <w:sz w:val="18"/>
                <w:szCs w:val="18"/>
              </w:rPr>
              <w:t>企业提供核心实操课程资源；</w:t>
            </w:r>
          </w:p>
          <w:p>
            <w:pPr>
              <w:widowControl/>
              <w:ind w:firstLine="0" w:firstLineChars="0"/>
              <w:jc w:val="left"/>
              <w:rPr>
                <w:sz w:val="18"/>
                <w:szCs w:val="18"/>
              </w:rPr>
            </w:pPr>
            <w:r>
              <w:rPr>
                <w:rFonts w:hint="eastAsia"/>
                <w:sz w:val="18"/>
                <w:szCs w:val="18"/>
              </w:rPr>
              <w:t>学校教师接受企业培训和认证，提升教学实操能力；</w:t>
            </w:r>
          </w:p>
          <w:p>
            <w:pPr>
              <w:widowControl/>
              <w:ind w:firstLine="0" w:firstLineChars="0"/>
              <w:jc w:val="left"/>
              <w:rPr>
                <w:sz w:val="18"/>
                <w:szCs w:val="18"/>
              </w:rPr>
            </w:pPr>
            <w:r>
              <w:rPr>
                <w:rFonts w:hint="eastAsia"/>
                <w:sz w:val="18"/>
                <w:szCs w:val="18"/>
              </w:rPr>
              <w:t>学生接受行业认证。</w:t>
            </w:r>
          </w:p>
        </w:tc>
        <w:tc>
          <w:tcPr>
            <w:tcW w:w="2693" w:type="dxa"/>
            <w:vAlign w:val="center"/>
          </w:tcPr>
          <w:p>
            <w:pPr>
              <w:widowControl/>
              <w:ind w:firstLine="0" w:firstLineChars="0"/>
              <w:jc w:val="left"/>
              <w:rPr>
                <w:sz w:val="18"/>
                <w:szCs w:val="18"/>
              </w:rPr>
            </w:pPr>
            <w:r>
              <w:rPr>
                <w:rFonts w:hint="eastAsia"/>
                <w:sz w:val="18"/>
                <w:szCs w:val="18"/>
              </w:rPr>
              <w:t>1．学生技能水平高，汽修行业认证通过率高达95%；</w:t>
            </w:r>
          </w:p>
          <w:p>
            <w:pPr>
              <w:widowControl/>
              <w:ind w:firstLine="0" w:firstLineChars="0"/>
              <w:jc w:val="left"/>
              <w:rPr>
                <w:sz w:val="18"/>
                <w:szCs w:val="18"/>
              </w:rPr>
            </w:pPr>
            <w:r>
              <w:rPr>
                <w:rFonts w:hint="eastAsia"/>
                <w:sz w:val="18"/>
                <w:szCs w:val="18"/>
              </w:rPr>
              <w:t>2．对口就业率达98%以上；</w:t>
            </w:r>
          </w:p>
          <w:p>
            <w:pPr>
              <w:widowControl/>
              <w:ind w:firstLine="0" w:firstLineChars="0"/>
              <w:jc w:val="left"/>
              <w:rPr>
                <w:sz w:val="18"/>
                <w:szCs w:val="18"/>
              </w:rPr>
            </w:pPr>
            <w:r>
              <w:rPr>
                <w:rFonts w:hint="eastAsia"/>
                <w:sz w:val="18"/>
                <w:szCs w:val="18"/>
              </w:rPr>
              <w:t>3．学徒制特征明显。</w:t>
            </w:r>
          </w:p>
        </w:tc>
      </w:tr>
    </w:tbl>
    <w:p>
      <w:pPr>
        <w:widowControl/>
        <w:ind w:firstLine="480"/>
        <w:jc w:val="center"/>
        <w:rPr>
          <w:rFonts w:ascii="仿宋_GB2312" w:hAnsi="宋体" w:eastAsia="仿宋_GB2312"/>
          <w:kern w:val="0"/>
        </w:rPr>
      </w:pPr>
    </w:p>
    <w:p>
      <w:pPr>
        <w:ind w:firstLine="480"/>
      </w:pPr>
      <w:r>
        <w:rPr>
          <w:rFonts w:hint="eastAsia"/>
        </w:rPr>
        <w:t>在校企合作管理中，每一个校企合作项目设置相关专业教师，担任校企合作项目负责人，负责管理专班的组建、课程的设置、企业的沟通、见习实习的安排等工作。</w:t>
      </w:r>
    </w:p>
    <w:p>
      <w:pPr>
        <w:pStyle w:val="4"/>
      </w:pPr>
      <w:bookmarkStart w:id="201" w:name="_Toc505003838"/>
      <w:bookmarkStart w:id="202" w:name="_Toc29995187"/>
      <w:r>
        <w:rPr>
          <w:rFonts w:hint="eastAsia"/>
        </w:rPr>
        <w:t>4.1.2校企合作效果</w:t>
      </w:r>
      <w:bookmarkEnd w:id="201"/>
      <w:bookmarkEnd w:id="202"/>
    </w:p>
    <w:p>
      <w:pPr>
        <w:pStyle w:val="10"/>
        <w:spacing w:line="360" w:lineRule="auto"/>
        <w:ind w:firstLine="480" w:firstLineChars="200"/>
      </w:pPr>
      <w:bookmarkStart w:id="203" w:name="_Toc505003839"/>
      <w:bookmarkStart w:id="204" w:name="_Toc29995188"/>
      <w:bookmarkStart w:id="205" w:name="_Toc472001018"/>
      <w:r>
        <w:rPr>
          <w:rFonts w:hint="eastAsia" w:ascii="Times New Roman" w:hAnsi="Times New Roman" w:eastAsia="宋体"/>
          <w:b w:val="0"/>
          <w:bCs w:val="0"/>
          <w:kern w:val="2"/>
          <w:szCs w:val="24"/>
        </w:rPr>
        <w:t>学校</w:t>
      </w:r>
      <w:bookmarkEnd w:id="203"/>
      <w:r>
        <w:rPr>
          <w:rFonts w:hint="eastAsia" w:ascii="Times New Roman" w:hAnsi="Times New Roman" w:eastAsia="宋体"/>
          <w:b w:val="0"/>
          <w:bCs w:val="0"/>
          <w:kern w:val="2"/>
          <w:szCs w:val="24"/>
        </w:rPr>
        <w:t>目前的校企合作已经进入了深水区，从过去只输送学生到企业进行顶岗实习到现在的把企业引进来的“引产入校”阶段。已经实现了校企合作质的飞跃，虽然由于目前各种客观条件的制约，只有5个专业得以实现“引产入校”，但是随着“引产入校”模式的成熟，我们将能够向更多的专业推广。</w:t>
      </w:r>
      <w:bookmarkEnd w:id="204"/>
    </w:p>
    <w:p>
      <w:pPr>
        <w:ind w:firstLine="0" w:firstLineChars="0"/>
        <w:jc w:val="center"/>
      </w:pPr>
      <w:r>
        <w:rPr>
          <w:rFonts w:hint="eastAsia"/>
        </w:rPr>
        <w:drawing>
          <wp:inline distT="0" distB="0" distL="114300" distR="114300">
            <wp:extent cx="5365750" cy="3291205"/>
            <wp:effectExtent l="0" t="0" r="6350" b="4445"/>
            <wp:docPr id="5" name="图片 19" descr="微信图片_2019011710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微信图片_20190117102623"/>
                    <pic:cNvPicPr>
                      <a:picLocks noChangeAspect="1"/>
                    </pic:cNvPicPr>
                  </pic:nvPicPr>
                  <pic:blipFill>
                    <a:blip r:embed="rId36"/>
                    <a:stretch>
                      <a:fillRect/>
                    </a:stretch>
                  </pic:blipFill>
                  <pic:spPr>
                    <a:xfrm>
                      <a:off x="0" y="0"/>
                      <a:ext cx="5365750" cy="3291205"/>
                    </a:xfrm>
                    <a:prstGeom prst="rect">
                      <a:avLst/>
                    </a:prstGeom>
                    <a:noFill/>
                    <a:ln>
                      <a:noFill/>
                    </a:ln>
                  </pic:spPr>
                </pic:pic>
              </a:graphicData>
            </a:graphic>
          </wp:inline>
        </w:drawing>
      </w:r>
    </w:p>
    <w:p>
      <w:pPr>
        <w:ind w:firstLine="0" w:firstLineChars="0"/>
        <w:jc w:val="center"/>
      </w:pPr>
      <w:r>
        <w:rPr>
          <w:rFonts w:hint="eastAsia"/>
        </w:rPr>
        <w:t>图片4.1-1引产入校项目总结大会1</w:t>
      </w:r>
    </w:p>
    <w:p>
      <w:pPr>
        <w:ind w:firstLine="0" w:firstLineChars="0"/>
        <w:jc w:val="center"/>
      </w:pPr>
      <w:r>
        <w:rPr>
          <w:rFonts w:hint="eastAsia"/>
        </w:rPr>
        <w:drawing>
          <wp:inline distT="0" distB="0" distL="114300" distR="114300">
            <wp:extent cx="5289550" cy="3119120"/>
            <wp:effectExtent l="0" t="0" r="6350" b="5080"/>
            <wp:docPr id="4" name="图片 20" descr="微信图片_2019011710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descr="微信图片_20190117102756"/>
                    <pic:cNvPicPr>
                      <a:picLocks noChangeAspect="1"/>
                    </pic:cNvPicPr>
                  </pic:nvPicPr>
                  <pic:blipFill>
                    <a:blip r:embed="rId37"/>
                    <a:stretch>
                      <a:fillRect/>
                    </a:stretch>
                  </pic:blipFill>
                  <pic:spPr>
                    <a:xfrm>
                      <a:off x="0" y="0"/>
                      <a:ext cx="5289550" cy="3119120"/>
                    </a:xfrm>
                    <a:prstGeom prst="rect">
                      <a:avLst/>
                    </a:prstGeom>
                    <a:noFill/>
                    <a:ln>
                      <a:noFill/>
                    </a:ln>
                  </pic:spPr>
                </pic:pic>
              </a:graphicData>
            </a:graphic>
          </wp:inline>
        </w:drawing>
      </w:r>
    </w:p>
    <w:p>
      <w:pPr>
        <w:ind w:firstLine="0" w:firstLineChars="0"/>
        <w:jc w:val="center"/>
      </w:pPr>
      <w:r>
        <w:rPr>
          <w:rFonts w:hint="eastAsia"/>
        </w:rPr>
        <w:t>图片4.1-2引产入校项目总结大会2</w:t>
      </w:r>
    </w:p>
    <w:p>
      <w:pPr>
        <w:ind w:firstLine="0" w:firstLineChars="0"/>
        <w:jc w:val="center"/>
      </w:pPr>
      <w:r>
        <w:rPr>
          <w:rFonts w:hint="eastAsia"/>
        </w:rPr>
        <w:drawing>
          <wp:inline distT="0" distB="0" distL="114300" distR="114300">
            <wp:extent cx="5328920" cy="3967480"/>
            <wp:effectExtent l="0" t="0" r="5080" b="13970"/>
            <wp:docPr id="2" name="图片 21" descr="微信图片_2019011710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微信图片_20190117102911"/>
                    <pic:cNvPicPr>
                      <a:picLocks noChangeAspect="1"/>
                    </pic:cNvPicPr>
                  </pic:nvPicPr>
                  <pic:blipFill>
                    <a:blip r:embed="rId38"/>
                    <a:stretch>
                      <a:fillRect/>
                    </a:stretch>
                  </pic:blipFill>
                  <pic:spPr>
                    <a:xfrm>
                      <a:off x="0" y="0"/>
                      <a:ext cx="5328920" cy="3967480"/>
                    </a:xfrm>
                    <a:prstGeom prst="rect">
                      <a:avLst/>
                    </a:prstGeom>
                    <a:noFill/>
                    <a:ln>
                      <a:noFill/>
                    </a:ln>
                  </pic:spPr>
                </pic:pic>
              </a:graphicData>
            </a:graphic>
          </wp:inline>
        </w:drawing>
      </w:r>
    </w:p>
    <w:p>
      <w:pPr>
        <w:ind w:firstLine="0" w:firstLineChars="0"/>
        <w:jc w:val="center"/>
      </w:pPr>
      <w:r>
        <w:rPr>
          <w:rFonts w:hint="eastAsia"/>
        </w:rPr>
        <w:t>图片4.1-3学校带领学生到巨轮股份有限公司开展实习活动1</w:t>
      </w:r>
    </w:p>
    <w:p>
      <w:pPr>
        <w:ind w:firstLine="0" w:firstLineChars="0"/>
        <w:jc w:val="center"/>
      </w:pPr>
      <w:r>
        <w:rPr>
          <w:rFonts w:hint="eastAsia"/>
        </w:rPr>
        <w:drawing>
          <wp:inline distT="0" distB="0" distL="114300" distR="114300">
            <wp:extent cx="5362575" cy="3580130"/>
            <wp:effectExtent l="0" t="0" r="9525" b="1270"/>
            <wp:docPr id="7" name="图片 22" descr="微信图片_2019011710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descr="微信图片_20190117103014"/>
                    <pic:cNvPicPr>
                      <a:picLocks noChangeAspect="1"/>
                    </pic:cNvPicPr>
                  </pic:nvPicPr>
                  <pic:blipFill>
                    <a:blip r:embed="rId39"/>
                    <a:stretch>
                      <a:fillRect/>
                    </a:stretch>
                  </pic:blipFill>
                  <pic:spPr>
                    <a:xfrm>
                      <a:off x="0" y="0"/>
                      <a:ext cx="5362575" cy="3580130"/>
                    </a:xfrm>
                    <a:prstGeom prst="rect">
                      <a:avLst/>
                    </a:prstGeom>
                    <a:noFill/>
                    <a:ln>
                      <a:noFill/>
                    </a:ln>
                  </pic:spPr>
                </pic:pic>
              </a:graphicData>
            </a:graphic>
          </wp:inline>
        </w:drawing>
      </w:r>
    </w:p>
    <w:p>
      <w:pPr>
        <w:ind w:firstLine="0" w:firstLineChars="0"/>
        <w:jc w:val="center"/>
      </w:pPr>
      <w:r>
        <w:rPr>
          <w:rFonts w:hint="eastAsia"/>
        </w:rPr>
        <w:t>图片4.1-4学校带领学生到巨轮股份有限公司开展实习活动2</w:t>
      </w:r>
    </w:p>
    <w:p>
      <w:pPr>
        <w:ind w:firstLine="0" w:firstLineChars="0"/>
        <w:jc w:val="center"/>
      </w:pPr>
    </w:p>
    <w:p>
      <w:pPr>
        <w:ind w:firstLine="0" w:firstLineChars="0"/>
        <w:jc w:val="center"/>
      </w:pPr>
    </w:p>
    <w:p>
      <w:pPr>
        <w:ind w:firstLine="0" w:firstLineChars="0"/>
        <w:jc w:val="center"/>
      </w:pPr>
      <w:r>
        <w:rPr>
          <w:rFonts w:hint="eastAsia"/>
        </w:rPr>
        <w:drawing>
          <wp:inline distT="0" distB="0" distL="114300" distR="114300">
            <wp:extent cx="5203825" cy="3473450"/>
            <wp:effectExtent l="0" t="0" r="15875" b="12700"/>
            <wp:docPr id="8" name="图片 23" descr="微信图片_2019011710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descr="微信图片_20190117103151"/>
                    <pic:cNvPicPr>
                      <a:picLocks noChangeAspect="1"/>
                    </pic:cNvPicPr>
                  </pic:nvPicPr>
                  <pic:blipFill>
                    <a:blip r:embed="rId40"/>
                    <a:stretch>
                      <a:fillRect/>
                    </a:stretch>
                  </pic:blipFill>
                  <pic:spPr>
                    <a:xfrm>
                      <a:off x="0" y="0"/>
                      <a:ext cx="5203825" cy="3473450"/>
                    </a:xfrm>
                    <a:prstGeom prst="rect">
                      <a:avLst/>
                    </a:prstGeom>
                    <a:noFill/>
                    <a:ln>
                      <a:noFill/>
                    </a:ln>
                  </pic:spPr>
                </pic:pic>
              </a:graphicData>
            </a:graphic>
          </wp:inline>
        </w:drawing>
      </w:r>
    </w:p>
    <w:p>
      <w:pPr>
        <w:ind w:firstLine="0" w:firstLineChars="0"/>
        <w:jc w:val="center"/>
      </w:pPr>
      <w:r>
        <w:rPr>
          <w:rFonts w:hint="eastAsia"/>
        </w:rPr>
        <w:t>图片4.1-5学校带领学生到巨轮股份有限公司开展实习活动3</w:t>
      </w:r>
    </w:p>
    <w:p>
      <w:pPr>
        <w:pStyle w:val="10"/>
      </w:pPr>
      <w:bookmarkStart w:id="206" w:name="_Toc505003840"/>
      <w:bookmarkStart w:id="207" w:name="_Toc29995189"/>
      <w:r>
        <w:rPr>
          <w:rFonts w:hint="eastAsia"/>
        </w:rPr>
        <w:t>4.1.2.1毕业生实现高水平就业</w:t>
      </w:r>
      <w:bookmarkEnd w:id="205"/>
      <w:bookmarkEnd w:id="206"/>
      <w:bookmarkEnd w:id="207"/>
    </w:p>
    <w:p>
      <w:pPr>
        <w:widowControl/>
        <w:ind w:firstLine="480"/>
        <w:jc w:val="left"/>
        <w:rPr>
          <w:rFonts w:ascii="宋体" w:hAnsi="宋体" w:cs="宋体"/>
          <w:kern w:val="0"/>
        </w:rPr>
      </w:pPr>
      <w:bookmarkStart w:id="208" w:name="_Toc472001019"/>
      <w:r>
        <w:rPr>
          <w:rFonts w:hint="eastAsia" w:ascii="宋体" w:hAnsi="宋体" w:cs="宋体"/>
          <w:kern w:val="0"/>
        </w:rPr>
        <w:t>在“引产入校”的推动下，学校通过和企业的合作，包括了课程合作、实习项目合作逐渐走出特色，培养的学生不仅拥有符合企业社会要求的专业知识，更练就了良好的职业素养，践行企业规范操守，深受用人单位欢迎，就业率达99%。在开展“引产入校”后，学生的学习目标更加明确、学习动力更强，更能亲身体验到在企业和社会工作的不容易，能更加珍惜在学校的学习。在学校与地方人力资源局举办的人才招聘会上，学校学前教育专业和汽修运用与维修的毕业生更是被企业预订一空，实现了高平台就业。随着学校学生专业技能水平不断提升，大批德技双馨的毕业生不断走向社会，成长为企业的中坚力量，为揭阳经济的发展提供了源源不断的人力资源。</w:t>
      </w:r>
    </w:p>
    <w:p>
      <w:pPr>
        <w:pStyle w:val="10"/>
      </w:pPr>
      <w:bookmarkStart w:id="209" w:name="_Toc505003841"/>
      <w:bookmarkStart w:id="210" w:name="_Toc29995190"/>
      <w:r>
        <w:rPr>
          <w:rFonts w:hint="eastAsia"/>
        </w:rPr>
        <w:t>4.1.2.2校企合作深度融合</w:t>
      </w:r>
      <w:bookmarkEnd w:id="208"/>
      <w:bookmarkEnd w:id="209"/>
      <w:bookmarkEnd w:id="210"/>
    </w:p>
    <w:p>
      <w:pPr>
        <w:ind w:firstLine="480"/>
        <w:rPr>
          <w:rFonts w:ascii="宋体" w:hAnsi="宋体" w:cs="宋体"/>
          <w:color w:val="C0504D"/>
          <w:kern w:val="0"/>
        </w:rPr>
      </w:pPr>
      <w:r>
        <w:rPr>
          <w:rFonts w:hint="eastAsia" w:ascii="宋体" w:hAnsi="宋体" w:cs="宋体"/>
          <w:kern w:val="0"/>
        </w:rPr>
        <w:t>学校大力开展“引产入校的校企合作”，多元化办学模式初见成效，校企合作深度融合获得新突破。我校大力引进进校开展实习实训合作，建立“校中厂”“厂中校”“园中校”，与企业一道，按照岗位能力要求开展教学、实训、实习以及就业。2018年初，学校以电子商务、机电专业、中餐烹饪与营养膳食专业以及酒店管理专业为核心，有效整合校行企资源。通过把企业请进学校，把企业项目引进学校，根据企业项目的要求，和企业共同制定课程以及实训规划。在完成一定的培训之后，直接由企业带领学生完成企业相应的实践项目。在2018年我校与深圳前海优质教育公司开展的校企合作项目就是如此。在企业对学生培训一段时间之后就把直接上马“电商618”活动的项目，让学生作为电商客户开展实战活动，让学生对电商客户岗位的认识大为改观。学校目前还与揭阳市榕城餐饮行业协会建立揭阳市首个中职学校现代学徒制的餐饮人才培养计划，与揭阳市胜木电子孵化基地打造电商人才培养基地，大力发展餐饮行业和电子商务校企合作及课程研发，走在揭阳市乃至粤东发展潮头；校企合作的成功成果更是深度融合的体现。</w:t>
      </w:r>
    </w:p>
    <w:p>
      <w:pPr>
        <w:pStyle w:val="3"/>
      </w:pPr>
      <w:bookmarkStart w:id="211" w:name="_Toc29995191"/>
      <w:bookmarkStart w:id="212" w:name="_Toc505003842"/>
      <w:r>
        <w:rPr>
          <w:rFonts w:hint="eastAsia"/>
        </w:rPr>
        <w:t>4.2学生（顶岗）实习情况</w:t>
      </w:r>
      <w:bookmarkEnd w:id="211"/>
      <w:bookmarkEnd w:id="212"/>
    </w:p>
    <w:p>
      <w:pPr>
        <w:ind w:firstLine="480"/>
        <w:jc w:val="left"/>
      </w:pPr>
      <w:r>
        <w:rPr>
          <w:rFonts w:hint="eastAsia" w:ascii="宋体" w:hAnsi="宋体"/>
        </w:rPr>
        <w:t>顶岗实习是职业教育人才培养的重要环节，是实现人才培养模式改革创新的重要途径，是培养学生职业素质和职业能力的重要教学方式。为了加强我校学生顶岗实习的管理工作，根据有关文件精神，学校不断健全完善顶岗实习管理体系，制订详实可行的顶岗实习工作计划，强化顶岗实习管理措施，加强专业实习前的就业指导工作，树立正确的择业和就业观念，注重实效，加强安全教育，保障学生权益。充分发挥职业素养课，通过就业指导课、就业指导专题讲座、实习动员会、校园招聘会等方式开展实习指导工作；校企深度融合，实现对口实习就业。构建就业信息网络，畅通实习就业渠道；加强实习指导老师队建设，全程监管实习过程，保证实习质量。学校组织2018届参加顶岗实习工作，实习生人数共</w:t>
      </w:r>
      <w:r>
        <w:rPr>
          <w:rFonts w:hint="eastAsia" w:ascii="宋体" w:hAnsi="宋体"/>
          <w:lang w:val="en-US" w:eastAsia="zh-CN"/>
        </w:rPr>
        <w:t>704</w:t>
      </w:r>
      <w:bookmarkStart w:id="272" w:name="_GoBack"/>
      <w:bookmarkEnd w:id="272"/>
      <w:r>
        <w:rPr>
          <w:rFonts w:hint="eastAsia" w:ascii="宋体" w:hAnsi="宋体"/>
        </w:rPr>
        <w:t>人，毕业生初次就业率达99%，双证书率达95.3%。校企合作专班有：吉荣专班、宏光专班、榕江专班、东莞宝马电梯专班、广东通信工程技术专班等校企专班，人数为388人。通过择优推荐的方式向合作校企输入专业人才共431人，专业对口率为88%</w:t>
      </w:r>
      <w:r>
        <w:t>。</w:t>
      </w:r>
    </w:p>
    <w:p>
      <w:pPr>
        <w:ind w:firstLine="480"/>
        <w:jc w:val="left"/>
      </w:pPr>
    </w:p>
    <w:p>
      <w:pPr>
        <w:ind w:firstLine="0" w:firstLineChars="0"/>
        <w:jc w:val="left"/>
      </w:pPr>
    </w:p>
    <w:p>
      <w:pPr>
        <w:ind w:firstLine="480"/>
        <w:jc w:val="left"/>
      </w:pPr>
    </w:p>
    <w:p>
      <w:pPr>
        <w:ind w:firstLine="480"/>
        <w:jc w:val="left"/>
      </w:pPr>
    </w:p>
    <w:p>
      <w:pPr>
        <w:ind w:firstLine="480"/>
        <w:jc w:val="left"/>
      </w:pPr>
    </w:p>
    <w:p>
      <w:pPr>
        <w:ind w:firstLine="480"/>
        <w:jc w:val="left"/>
      </w:pPr>
    </w:p>
    <w:p>
      <w:pPr>
        <w:ind w:firstLine="480"/>
        <w:jc w:val="left"/>
      </w:pPr>
    </w:p>
    <w:p>
      <w:pPr>
        <w:ind w:firstLine="480"/>
        <w:jc w:val="left"/>
      </w:pPr>
    </w:p>
    <w:p>
      <w:pPr>
        <w:ind w:firstLine="480"/>
        <w:jc w:val="left"/>
      </w:pPr>
    </w:p>
    <w:p>
      <w:pPr>
        <w:ind w:firstLine="0" w:firstLineChars="0"/>
        <w:jc w:val="left"/>
      </w:pPr>
      <w:r>
        <w:drawing>
          <wp:inline distT="0" distB="0" distL="0" distR="0">
            <wp:extent cx="5835650" cy="4957445"/>
            <wp:effectExtent l="0" t="0" r="12700" b="14605"/>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ind w:firstLine="480"/>
        <w:jc w:val="left"/>
      </w:pPr>
    </w:p>
    <w:p>
      <w:pPr>
        <w:ind w:firstLine="480"/>
        <w:jc w:val="left"/>
        <w:rPr>
          <w:rFonts w:ascii="宋体" w:hAnsi="宋体"/>
        </w:rPr>
      </w:pPr>
    </w:p>
    <w:p>
      <w:pPr>
        <w:pStyle w:val="3"/>
      </w:pPr>
      <w:bookmarkStart w:id="213" w:name="_Toc29995192"/>
      <w:bookmarkStart w:id="214" w:name="_Toc505003843"/>
      <w:r>
        <w:rPr>
          <w:rFonts w:hint="eastAsia"/>
        </w:rPr>
        <w:t>4.3集团化办学情况</w:t>
      </w:r>
      <w:bookmarkEnd w:id="213"/>
      <w:bookmarkEnd w:id="214"/>
    </w:p>
    <w:p>
      <w:pPr>
        <w:ind w:firstLine="480"/>
        <w:rPr>
          <w:rFonts w:ascii="宋体" w:hAnsi="宋体"/>
        </w:rPr>
      </w:pPr>
      <w:r>
        <w:rPr>
          <w:rFonts w:hint="eastAsia" w:ascii="宋体" w:hAnsi="宋体"/>
        </w:rPr>
        <w:t>揭阳捷和职业技术学校于2010年开展深度校企合作至今，共同培养了数以千计的各类专业技术人才，在专业共建、师资培养、课程开发等项目上也有深度的合作。因此，广东省经济贸易职业技术学校物流行业协会、揭阳市榕城区餐饮行业、电子商务行业成立职业教育集团特别邀请了我校为集团的理事单位的职业教育集团的战略合作伙伴。按照平等自愿、互惠互利的原则，联合相关职业院校、企业、政府职能部门、行业协会（学会）组建的不具法人资格，非赢利性的职业教育协作组织。坚持以服务经济建设为宗旨，以人才培养为依托，以校企双赢为目标，通过组建职教集团，充分发挥职业院校、行业协会、企事业单位各自的优势，优化职业教育资源配置，提高办学水平，探索一条由校企共同牵头，行业协会、企事业单位参与，以专业发展为纽带，以校企合作为中心，以提高劳动者素质为目的，优势互补、互惠互利，低投入、高产出的职业教育发展新道路。充分发挥职业教育集团在促进教育链和产业链有机融合中的重要作用，助推揭阳市乃至广东省产业转型升级，加快向“精品制造”迈进。</w:t>
      </w:r>
    </w:p>
    <w:p>
      <w:pPr>
        <w:ind w:firstLine="480"/>
        <w:rPr>
          <w:rFonts w:ascii="宋体" w:hAnsi="宋体"/>
        </w:rPr>
      </w:pPr>
    </w:p>
    <w:p>
      <w:pPr>
        <w:pStyle w:val="2"/>
        <w:ind w:left="240" w:right="240"/>
      </w:pPr>
      <w:bookmarkStart w:id="215" w:name="_Toc505003844"/>
      <w:bookmarkStart w:id="216" w:name="_Toc29995193"/>
      <w:r>
        <w:rPr>
          <w:rFonts w:hint="eastAsia"/>
        </w:rPr>
        <w:t>5.社会贡献</w:t>
      </w:r>
      <w:bookmarkEnd w:id="215"/>
      <w:bookmarkEnd w:id="216"/>
    </w:p>
    <w:p>
      <w:pPr>
        <w:pStyle w:val="3"/>
      </w:pPr>
      <w:bookmarkStart w:id="217" w:name="_Toc29995194"/>
      <w:bookmarkStart w:id="218" w:name="_Toc505003845"/>
      <w:r>
        <w:rPr>
          <w:rFonts w:hint="eastAsia"/>
        </w:rPr>
        <w:t>5.1技术技能人才培养</w:t>
      </w:r>
      <w:bookmarkEnd w:id="217"/>
      <w:bookmarkEnd w:id="218"/>
    </w:p>
    <w:p>
      <w:pPr>
        <w:ind w:firstLine="480"/>
        <w:rPr>
          <w:rFonts w:ascii="宋体" w:hAnsi="宋体"/>
        </w:rPr>
      </w:pPr>
      <w:r>
        <w:rPr>
          <w:rFonts w:hint="eastAsia" w:ascii="宋体" w:hAnsi="宋体"/>
        </w:rPr>
        <w:t>本学年学生对学校人才培养工作给予了较高评价，对教师授课满意度，班主任工作满意度和生活教官满意度均较上学年有大幅增长。其中对生活教室很满意的选项占22.5%，满意的选项占49.17%，基本满意的选项占23.33%，一般的选项占5%。从问卷调查的结果看，生活教官对学校提供的工作、生活环境较满意。</w:t>
      </w:r>
    </w:p>
    <w:p>
      <w:pPr>
        <w:ind w:firstLine="480"/>
        <w:jc w:val="center"/>
        <w:rPr>
          <w:rFonts w:ascii="宋体" w:hAnsi="宋体"/>
        </w:rPr>
      </w:pPr>
      <w:r>
        <w:rPr>
          <w:rFonts w:ascii="宋体" w:hAnsi="宋体"/>
        </w:rPr>
        <w:drawing>
          <wp:inline distT="0" distB="0" distL="114300" distR="114300">
            <wp:extent cx="3991610" cy="2505710"/>
            <wp:effectExtent l="4445" t="4445" r="23495" b="2349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4"/>
      </w:pPr>
      <w:bookmarkStart w:id="219" w:name="_Toc29995195"/>
      <w:bookmarkStart w:id="220" w:name="_Toc505003846"/>
      <w:r>
        <w:rPr>
          <w:rFonts w:hint="eastAsia"/>
        </w:rPr>
        <w:t>5.1.1毕业生评价</w:t>
      </w:r>
      <w:bookmarkEnd w:id="219"/>
      <w:bookmarkEnd w:id="220"/>
    </w:p>
    <w:p>
      <w:pPr>
        <w:ind w:firstLine="480"/>
        <w:rPr>
          <w:rFonts w:ascii="宋体" w:hAnsi="宋体" w:cs="仿宋"/>
        </w:rPr>
      </w:pPr>
      <w:r>
        <w:rPr>
          <w:rFonts w:hint="eastAsia" w:ascii="宋体" w:hAnsi="宋体" w:cs="仿宋"/>
        </w:rPr>
        <w:t>本学年共有75名教师担任2018届毕业生实习指导工作，共指导</w:t>
      </w:r>
      <w:r>
        <w:rPr>
          <w:rFonts w:hint="eastAsia" w:ascii="宋体" w:hAnsi="宋体" w:cs="仿宋"/>
          <w:lang w:val="en-US" w:eastAsia="zh-CN"/>
        </w:rPr>
        <w:t>704</w:t>
      </w:r>
      <w:r>
        <w:rPr>
          <w:rFonts w:hint="eastAsia" w:ascii="宋体" w:hAnsi="宋体" w:cs="仿宋"/>
        </w:rPr>
        <w:t>名学生，满意度均在92%以上。</w:t>
      </w:r>
    </w:p>
    <w:p>
      <w:pPr>
        <w:ind w:firstLine="480"/>
        <w:jc w:val="center"/>
        <w:rPr>
          <w:rFonts w:ascii="宋体" w:hAnsi="宋体"/>
          <w:color w:val="ED7D31" w:themeColor="accent2"/>
          <w14:textFill>
            <w14:solidFill>
              <w14:schemeClr w14:val="accent2"/>
            </w14:solidFill>
          </w14:textFill>
        </w:rPr>
      </w:pPr>
    </w:p>
    <w:p>
      <w:pPr>
        <w:ind w:firstLine="480"/>
        <w:jc w:val="center"/>
        <w:rPr>
          <w:rFonts w:ascii="宋体" w:hAnsi="宋体"/>
          <w:color w:val="ED7D31" w:themeColor="accent2"/>
          <w14:textFill>
            <w14:solidFill>
              <w14:schemeClr w14:val="accent2"/>
            </w14:solidFill>
          </w14:textFill>
        </w:rPr>
      </w:pPr>
    </w:p>
    <w:p>
      <w:pPr>
        <w:pStyle w:val="4"/>
      </w:pPr>
      <w:bookmarkStart w:id="221" w:name="_Toc505003847"/>
      <w:bookmarkStart w:id="222" w:name="_Toc29995196"/>
      <w:r>
        <w:rPr>
          <w:rFonts w:hint="eastAsia"/>
        </w:rPr>
        <w:t>5.1.2用人单位评价</w:t>
      </w:r>
      <w:bookmarkEnd w:id="221"/>
      <w:bookmarkEnd w:id="222"/>
    </w:p>
    <w:p>
      <w:pPr>
        <w:pStyle w:val="10"/>
        <w:rPr>
          <w:kern w:val="0"/>
        </w:rPr>
      </w:pPr>
      <w:bookmarkStart w:id="223" w:name="_Toc505003848"/>
      <w:bookmarkStart w:id="224" w:name="_Toc472001026"/>
      <w:bookmarkStart w:id="225" w:name="_Toc29995197"/>
      <w:r>
        <w:rPr>
          <w:rFonts w:hint="eastAsia"/>
          <w:kern w:val="0"/>
        </w:rPr>
        <w:t>5.2.2.1用人单位对毕业生满意度</w:t>
      </w:r>
      <w:bookmarkEnd w:id="223"/>
      <w:bookmarkEnd w:id="224"/>
      <w:bookmarkEnd w:id="225"/>
    </w:p>
    <w:p>
      <w:pPr>
        <w:ind w:firstLine="480"/>
        <w:rPr>
          <w:rFonts w:ascii="宋体" w:hAnsi="宋体" w:cs="仿宋"/>
        </w:rPr>
      </w:pPr>
      <w:bookmarkStart w:id="226" w:name="_Toc472001027"/>
      <w:r>
        <w:rPr>
          <w:rFonts w:hint="eastAsia" w:ascii="宋体" w:hAnsi="宋体" w:cs="仿宋"/>
        </w:rPr>
        <w:t>根据20</w:t>
      </w:r>
      <w:r>
        <w:rPr>
          <w:rFonts w:hint="eastAsia" w:ascii="宋体" w:hAnsi="宋体" w:cs="仿宋"/>
          <w:lang w:val="en-US" w:eastAsia="zh-CN"/>
        </w:rPr>
        <w:t>18</w:t>
      </w:r>
      <w:r>
        <w:rPr>
          <w:rFonts w:hint="eastAsia" w:ascii="宋体" w:hAnsi="宋体" w:cs="仿宋"/>
        </w:rPr>
        <w:t>届毕业生称职状况调查，用人单位对毕业生的评价较高，已连续三年毕业生称职率达95%以上。与201</w:t>
      </w:r>
      <w:r>
        <w:rPr>
          <w:rFonts w:hint="eastAsia" w:ascii="宋体" w:hAnsi="宋体" w:cs="仿宋"/>
          <w:lang w:val="en-US" w:eastAsia="zh-CN"/>
        </w:rPr>
        <w:t>7</w:t>
      </w:r>
      <w:r>
        <w:rPr>
          <w:rFonts w:hint="eastAsia" w:ascii="宋体" w:hAnsi="宋体" w:cs="仿宋"/>
        </w:rPr>
        <w:t>届毕业生总体评价相较，201</w:t>
      </w:r>
      <w:r>
        <w:rPr>
          <w:rFonts w:hint="eastAsia" w:ascii="宋体" w:hAnsi="宋体" w:cs="仿宋"/>
          <w:lang w:val="en-US" w:eastAsia="zh-CN"/>
        </w:rPr>
        <w:t>8</w:t>
      </w:r>
      <w:r>
        <w:rPr>
          <w:rFonts w:hint="eastAsia" w:ascii="宋体" w:hAnsi="宋体" w:cs="仿宋"/>
        </w:rPr>
        <w:t>届毕业生优良率进一步有所提升。</w:t>
      </w:r>
    </w:p>
    <w:p>
      <w:pPr>
        <w:pStyle w:val="10"/>
        <w:rPr>
          <w:kern w:val="0"/>
        </w:rPr>
      </w:pPr>
      <w:bookmarkStart w:id="227" w:name="_Toc29995198"/>
      <w:bookmarkStart w:id="228" w:name="_Toc505003849"/>
      <w:r>
        <w:rPr>
          <w:rFonts w:hint="eastAsia"/>
          <w:kern w:val="0"/>
        </w:rPr>
        <w:t>5.2.2.2用人单位对毕业生素质和能力结构评价</w:t>
      </w:r>
      <w:bookmarkEnd w:id="226"/>
      <w:bookmarkEnd w:id="227"/>
      <w:bookmarkEnd w:id="228"/>
    </w:p>
    <w:p>
      <w:pPr>
        <w:ind w:firstLine="480"/>
        <w:rPr>
          <w:rFonts w:ascii="宋体" w:hAnsi="宋体" w:cs="仿宋"/>
        </w:rPr>
      </w:pPr>
      <w:r>
        <w:rPr>
          <w:rFonts w:hint="eastAsia" w:ascii="宋体" w:hAnsi="宋体" w:cs="仿宋"/>
        </w:rPr>
        <w:t>用人单位对学校20</w:t>
      </w:r>
      <w:r>
        <w:rPr>
          <w:rFonts w:hint="eastAsia" w:ascii="宋体" w:hAnsi="宋体" w:cs="仿宋"/>
          <w:lang w:val="en-US" w:eastAsia="zh-CN"/>
        </w:rPr>
        <w:t>18</w:t>
      </w:r>
      <w:r>
        <w:rPr>
          <w:rFonts w:hint="eastAsia" w:ascii="宋体" w:hAnsi="宋体" w:cs="仿宋"/>
        </w:rPr>
        <w:t>届毕业生素质和能力结构的满意度调查数据显示，用人单位对毕业生最高的评价仍然是优秀，平均为96分；其次是良好，第三是称职。</w:t>
      </w:r>
    </w:p>
    <w:p>
      <w:pPr>
        <w:pStyle w:val="3"/>
      </w:pPr>
      <w:bookmarkStart w:id="229" w:name="_Toc505003850"/>
      <w:bookmarkStart w:id="230" w:name="_Toc29995199"/>
      <w:r>
        <w:rPr>
          <w:rFonts w:hint="eastAsia"/>
        </w:rPr>
        <w:t>5.2对口支援</w:t>
      </w:r>
      <w:bookmarkEnd w:id="229"/>
      <w:bookmarkEnd w:id="230"/>
    </w:p>
    <w:p>
      <w:pPr>
        <w:autoSpaceDE w:val="0"/>
        <w:autoSpaceDN w:val="0"/>
        <w:adjustRightInd w:val="0"/>
        <w:ind w:firstLine="600" w:firstLineChars="250"/>
        <w:jc w:val="left"/>
        <w:rPr>
          <w:rFonts w:ascii="宋体" w:hAnsi="宋体" w:cs="仿宋"/>
          <w:kern w:val="0"/>
        </w:rPr>
      </w:pPr>
      <w:r>
        <w:rPr>
          <w:rFonts w:ascii="宋体" w:hAnsi="宋体" w:cs="仿宋"/>
          <w:kern w:val="0"/>
        </w:rPr>
        <w:t>为充分利用经济发达地区职校优势，为欠发达地区提供优越的岗位培养资源和就业资源进行有效尝试，同时也为“</w:t>
      </w:r>
      <w:r>
        <w:rPr>
          <w:rFonts w:hint="eastAsia" w:ascii="宋体" w:hAnsi="宋体" w:cs="仿宋"/>
          <w:kern w:val="0"/>
        </w:rPr>
        <w:t>东西部</w:t>
      </w:r>
      <w:r>
        <w:rPr>
          <w:rFonts w:ascii="宋体" w:hAnsi="宋体" w:cs="仿宋"/>
          <w:kern w:val="0"/>
        </w:rPr>
        <w:t>”培养更多的专业人才。我校积极探索与其他职业学校开展联合办学，共同培养“联办生”。“联办生”毕业后可以留在</w:t>
      </w:r>
      <w:r>
        <w:rPr>
          <w:rFonts w:hint="eastAsia" w:ascii="宋体" w:hAnsi="宋体" w:cs="仿宋"/>
          <w:kern w:val="0"/>
        </w:rPr>
        <w:t>当地</w:t>
      </w:r>
      <w:r>
        <w:rPr>
          <w:rFonts w:ascii="宋体" w:hAnsi="宋体" w:cs="仿宋"/>
          <w:kern w:val="0"/>
        </w:rPr>
        <w:t>就业。201</w:t>
      </w:r>
      <w:r>
        <w:rPr>
          <w:rFonts w:hint="eastAsia" w:ascii="宋体" w:hAnsi="宋体" w:cs="仿宋"/>
          <w:kern w:val="0"/>
        </w:rPr>
        <w:t>5</w:t>
      </w:r>
      <w:r>
        <w:rPr>
          <w:rFonts w:ascii="宋体" w:hAnsi="宋体" w:cs="仿宋"/>
          <w:kern w:val="0"/>
        </w:rPr>
        <w:t xml:space="preserve"> 年，在</w:t>
      </w:r>
      <w:r>
        <w:rPr>
          <w:rFonts w:hint="eastAsia" w:ascii="宋体" w:hAnsi="宋体" w:cs="仿宋"/>
          <w:kern w:val="0"/>
        </w:rPr>
        <w:t>揭阳</w:t>
      </w:r>
      <w:r>
        <w:rPr>
          <w:rFonts w:ascii="宋体" w:hAnsi="宋体" w:cs="仿宋"/>
          <w:kern w:val="0"/>
        </w:rPr>
        <w:t>市教育局的指导下，我校与</w:t>
      </w:r>
      <w:r>
        <w:rPr>
          <w:rFonts w:hint="eastAsia" w:ascii="宋体" w:hAnsi="宋体" w:cs="仿宋"/>
          <w:kern w:val="0"/>
        </w:rPr>
        <w:t>揭西第一职业技术学校，揭阳产业园霖磐职业技术学校、惠来县职业技术学校</w:t>
      </w:r>
      <w:r>
        <w:rPr>
          <w:rFonts w:ascii="宋体" w:hAnsi="宋体" w:cs="仿宋"/>
          <w:kern w:val="0"/>
        </w:rPr>
        <w:t>开展</w:t>
      </w:r>
      <w:r>
        <w:rPr>
          <w:rFonts w:hint="eastAsia" w:ascii="宋体" w:hAnsi="宋体" w:cs="仿宋"/>
          <w:kern w:val="0"/>
        </w:rPr>
        <w:t>校际帮扶，对口帮扶。</w:t>
      </w:r>
      <w:r>
        <w:rPr>
          <w:rFonts w:ascii="宋体" w:hAnsi="宋体" w:cs="仿宋"/>
          <w:kern w:val="0"/>
        </w:rPr>
        <w:t>包括：专业建设、课程开发、班主任培训、行政管理能力交流等等，达到双方共同成长的目标。</w:t>
      </w:r>
    </w:p>
    <w:p>
      <w:pPr>
        <w:pStyle w:val="2"/>
        <w:ind w:left="240" w:right="240"/>
      </w:pPr>
      <w:bookmarkStart w:id="231" w:name="_Toc505003851"/>
      <w:bookmarkStart w:id="232" w:name="_Toc29995200"/>
      <w:r>
        <w:rPr>
          <w:rFonts w:hint="eastAsia"/>
        </w:rPr>
        <w:t>6.举办者履责</w:t>
      </w:r>
      <w:bookmarkEnd w:id="231"/>
      <w:bookmarkEnd w:id="232"/>
    </w:p>
    <w:p>
      <w:pPr>
        <w:pStyle w:val="3"/>
        <w:rPr>
          <w:kern w:val="0"/>
        </w:rPr>
      </w:pPr>
      <w:bookmarkStart w:id="233" w:name="_Toc505003852"/>
      <w:bookmarkStart w:id="234" w:name="_Toc29995201"/>
      <w:r>
        <w:rPr>
          <w:rFonts w:hint="eastAsia"/>
          <w:kern w:val="0"/>
        </w:rPr>
        <w:t>6.1经费</w:t>
      </w:r>
      <w:bookmarkEnd w:id="233"/>
      <w:bookmarkEnd w:id="234"/>
    </w:p>
    <w:p>
      <w:pPr>
        <w:ind w:firstLine="480"/>
        <w:rPr>
          <w:kern w:val="0"/>
        </w:rPr>
      </w:pPr>
      <w:r>
        <w:rPr>
          <w:rFonts w:hint="eastAsia"/>
          <w:kern w:val="0"/>
        </w:rPr>
        <w:t>2018年我校经费收入共3846.18万元，生均拨款0.97万元。其中，财政经常性补助收入共2960.29万元；学费收入共165.14万元；中央、地方财政专项投入（汽修专业等实训室设备、退役士兵技能培训（管理教育）、足球特色达标奖补、强师工程人才培养）718.25万元；其他收入总额为2.5万元。</w:t>
      </w:r>
    </w:p>
    <w:p>
      <w:pPr>
        <w:ind w:firstLine="480"/>
        <w:rPr>
          <w:rFonts w:hint="eastAsia"/>
          <w:kern w:val="0"/>
        </w:rPr>
      </w:pPr>
      <w:r>
        <w:rPr>
          <w:rFonts w:hint="eastAsia"/>
          <w:kern w:val="0"/>
        </w:rPr>
        <w:t>2018年我校经费支出共3813.77万元。其中，基础设施建设共10.98万元、设备采购共749.67万元（教学、实习实训仪器设备采购共745.03万元）；日常教学经费共206.49万元；师资队伍建设25.69万元；教学改革及研究26.62万元；其他支出2794.43万元。</w:t>
      </w:r>
    </w:p>
    <w:p>
      <w:pPr>
        <w:ind w:firstLine="480"/>
        <w:rPr>
          <w:rFonts w:hint="eastAsia"/>
          <w:kern w:val="0"/>
        </w:rPr>
      </w:pPr>
      <w:r>
        <w:drawing>
          <wp:inline distT="0" distB="0" distL="0" distR="0">
            <wp:extent cx="5486400" cy="2232025"/>
            <wp:effectExtent l="0" t="0" r="19050" b="1587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ind w:firstLine="480"/>
        <w:rPr>
          <w:rFonts w:hint="eastAsia"/>
          <w:kern w:val="0"/>
        </w:rPr>
      </w:pPr>
    </w:p>
    <w:p>
      <w:pPr>
        <w:ind w:firstLine="0" w:firstLineChars="0"/>
        <w:rPr>
          <w:kern w:val="0"/>
        </w:rPr>
      </w:pPr>
      <w:r>
        <w:drawing>
          <wp:inline distT="0" distB="0" distL="0" distR="0">
            <wp:extent cx="6301740" cy="2572385"/>
            <wp:effectExtent l="0" t="0" r="22860" b="18415"/>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3"/>
        <w:rPr>
          <w:kern w:val="0"/>
        </w:rPr>
      </w:pPr>
      <w:bookmarkStart w:id="235" w:name="_Toc505003853"/>
      <w:bookmarkStart w:id="236" w:name="_Toc29995202"/>
      <w:r>
        <w:rPr>
          <w:rFonts w:hint="eastAsia"/>
          <w:kern w:val="0"/>
        </w:rPr>
        <w:t>6.2 政策措施</w:t>
      </w:r>
      <w:bookmarkEnd w:id="235"/>
      <w:bookmarkEnd w:id="236"/>
    </w:p>
    <w:p>
      <w:pPr>
        <w:pStyle w:val="4"/>
      </w:pPr>
      <w:bookmarkStart w:id="237" w:name="_Toc29995203"/>
      <w:bookmarkStart w:id="238" w:name="_Toc505003854"/>
      <w:r>
        <w:rPr>
          <w:rFonts w:hint="eastAsia"/>
        </w:rPr>
        <w:t>6.2.1落实办学自主权</w:t>
      </w:r>
      <w:bookmarkEnd w:id="237"/>
      <w:bookmarkEnd w:id="238"/>
    </w:p>
    <w:p>
      <w:pPr>
        <w:ind w:firstLine="480"/>
      </w:pPr>
      <w:r>
        <w:rPr>
          <w:rFonts w:hint="eastAsia"/>
        </w:rPr>
        <w:t>我校是法人单位，校长是学校法人代表，学校拥有人事聘任、招生就业、专业设置、教学安排、考试考核、教师培训、对外交流、后勤保障、经费使用等办学自主权。</w:t>
      </w:r>
    </w:p>
    <w:p>
      <w:pPr>
        <w:pStyle w:val="4"/>
        <w:rPr>
          <w:kern w:val="0"/>
        </w:rPr>
      </w:pPr>
      <w:bookmarkStart w:id="239" w:name="_Toc505003855"/>
      <w:bookmarkStart w:id="240" w:name="_Toc29995204"/>
      <w:r>
        <w:rPr>
          <w:rFonts w:hint="eastAsia"/>
          <w:kern w:val="0"/>
        </w:rPr>
        <w:t>6.2.2落实教师编制</w:t>
      </w:r>
      <w:bookmarkEnd w:id="239"/>
      <w:bookmarkEnd w:id="240"/>
    </w:p>
    <w:p>
      <w:pPr>
        <w:ind w:firstLine="480"/>
      </w:pPr>
      <w:bookmarkStart w:id="241" w:name="_Toc505003856"/>
      <w:r>
        <w:rPr>
          <w:rFonts w:hint="eastAsia"/>
        </w:rPr>
        <w:t>榕城区核定我校人员编制为187人，现有在编在岗人员186 人。其中2015学年度我校根据学校发展及专业调整需要，学校目前有外聘教师17名，均为专业教师，2018—2019年度又招录了5名专业教师，专业教师队伍得到了继续加强。</w:t>
      </w:r>
    </w:p>
    <w:p>
      <w:pPr>
        <w:pStyle w:val="4"/>
        <w:rPr>
          <w:kern w:val="0"/>
        </w:rPr>
      </w:pPr>
      <w:bookmarkStart w:id="242" w:name="_Toc29995205"/>
      <w:r>
        <w:rPr>
          <w:rFonts w:hint="eastAsia"/>
          <w:kern w:val="0"/>
        </w:rPr>
        <w:t>6.2.3政策和制度</w:t>
      </w:r>
      <w:bookmarkEnd w:id="241"/>
      <w:bookmarkEnd w:id="242"/>
    </w:p>
    <w:p>
      <w:pPr>
        <w:ind w:firstLine="480"/>
      </w:pPr>
      <w:r>
        <w:rPr>
          <w:rFonts w:hint="eastAsia"/>
        </w:rPr>
        <w:t>学校根椐国家和教育行政部门文件精神，2016年修订和完善了学校管理制度，提高学校依法治校水平和管理水平。修订了相关的规章制度和校本文件。</w:t>
      </w:r>
    </w:p>
    <w:p>
      <w:pPr>
        <w:pStyle w:val="2"/>
        <w:ind w:left="240" w:right="240"/>
      </w:pPr>
      <w:bookmarkStart w:id="243" w:name="_Toc29995206"/>
      <w:bookmarkStart w:id="244" w:name="_Toc505003857"/>
      <w:r>
        <w:rPr>
          <w:rFonts w:hint="eastAsia"/>
        </w:rPr>
        <w:t>7.特色创新</w:t>
      </w:r>
      <w:bookmarkEnd w:id="243"/>
      <w:bookmarkEnd w:id="244"/>
    </w:p>
    <w:p>
      <w:pPr>
        <w:pStyle w:val="3"/>
        <w:rPr>
          <w:kern w:val="0"/>
        </w:rPr>
      </w:pPr>
      <w:bookmarkStart w:id="245" w:name="_Toc29995207"/>
      <w:bookmarkStart w:id="246" w:name="_Toc505003858"/>
      <w:r>
        <w:rPr>
          <w:rFonts w:hint="eastAsia"/>
          <w:kern w:val="0"/>
        </w:rPr>
        <w:t>7.1创新人才培养模式</w:t>
      </w:r>
      <w:bookmarkEnd w:id="245"/>
      <w:bookmarkEnd w:id="246"/>
    </w:p>
    <w:p>
      <w:pPr>
        <w:spacing w:line="500" w:lineRule="exact"/>
        <w:ind w:firstLine="0" w:firstLineChars="0"/>
        <w:jc w:val="left"/>
        <w:rPr>
          <w:rFonts w:hint="eastAsia" w:ascii="仿宋" w:hAnsi="仿宋" w:eastAsia="仿宋" w:cs="仿宋"/>
          <w:b/>
          <w:sz w:val="30"/>
          <w:szCs w:val="30"/>
        </w:rPr>
      </w:pPr>
      <w:bookmarkStart w:id="247" w:name="_Toc505003859"/>
      <w:r>
        <w:rPr>
          <w:rFonts w:hint="eastAsia" w:ascii="仿宋" w:hAnsi="仿宋" w:eastAsia="仿宋" w:cs="仿宋"/>
          <w:b/>
          <w:sz w:val="30"/>
          <w:szCs w:val="30"/>
        </w:rPr>
        <w:t>中餐烹饪与营养膳食专业现代学徒制实践探索过程与办学模式构建</w:t>
      </w:r>
    </w:p>
    <w:p>
      <w:pPr>
        <w:spacing w:line="500" w:lineRule="exact"/>
        <w:ind w:firstLine="562"/>
        <w:jc w:val="center"/>
        <w:rPr>
          <w:rFonts w:hint="eastAsia" w:ascii="仿宋" w:hAnsi="仿宋" w:eastAsia="仿宋" w:cs="仿宋"/>
          <w:b/>
          <w:sz w:val="28"/>
          <w:szCs w:val="28"/>
        </w:rPr>
      </w:pPr>
      <w:r>
        <w:rPr>
          <w:rFonts w:hint="eastAsia" w:ascii="仿宋" w:hAnsi="仿宋" w:eastAsia="仿宋" w:cs="仿宋"/>
          <w:b/>
          <w:sz w:val="28"/>
          <w:szCs w:val="28"/>
        </w:rPr>
        <w:t>——揭阳捷和职业技术学校 “现代学徒制”实践探索案例</w:t>
      </w:r>
    </w:p>
    <w:p>
      <w:pPr>
        <w:spacing w:line="500" w:lineRule="exact"/>
        <w:ind w:firstLine="480"/>
        <w:rPr>
          <w:rFonts w:hint="eastAsia" w:ascii="宋体" w:hAnsi="宋体"/>
        </w:rPr>
      </w:pPr>
      <w:r>
        <w:rPr>
          <w:rFonts w:hint="eastAsia" w:ascii="宋体" w:hAnsi="宋体"/>
        </w:rPr>
        <w:t>一、</w:t>
      </w:r>
      <w:r>
        <w:rPr>
          <w:rFonts w:hint="eastAsia"/>
        </w:rPr>
        <w:t>中餐烹饪与营养膳食专业现代学徒制实践探索过程</w:t>
      </w:r>
    </w:p>
    <w:p>
      <w:pPr>
        <w:spacing w:line="500" w:lineRule="exact"/>
        <w:ind w:firstLine="480"/>
        <w:rPr>
          <w:rFonts w:hint="eastAsia" w:ascii="宋体" w:hAnsi="宋体"/>
        </w:rPr>
      </w:pPr>
      <w:r>
        <w:rPr>
          <w:rFonts w:hint="eastAsia" w:ascii="宋体" w:hAnsi="宋体"/>
        </w:rPr>
        <w:t>（一）主要做法</w:t>
      </w:r>
    </w:p>
    <w:p>
      <w:pPr>
        <w:spacing w:line="500" w:lineRule="exact"/>
        <w:ind w:firstLine="480"/>
        <w:rPr>
          <w:rFonts w:hint="eastAsia" w:ascii="宋体" w:hAnsi="宋体"/>
        </w:rPr>
      </w:pPr>
      <w:r>
        <w:rPr>
          <w:rFonts w:hint="eastAsia" w:ascii="宋体" w:hAnsi="宋体"/>
        </w:rPr>
        <w:t>1．学校重视师资队伍建设。</w:t>
      </w:r>
    </w:p>
    <w:p>
      <w:pPr>
        <w:spacing w:line="500" w:lineRule="exact"/>
        <w:ind w:firstLine="480"/>
        <w:rPr>
          <w:rFonts w:hint="eastAsia" w:ascii="宋体" w:hAnsi="宋体"/>
        </w:rPr>
      </w:pPr>
      <w:r>
        <w:rPr>
          <w:rFonts w:hint="eastAsia" w:ascii="宋体" w:hAnsi="宋体"/>
        </w:rPr>
        <w:t>加强校本教研交流和培训并选派多位骨干教师参加国培、省培。郑文焕老师2016年至2018年先后参加了广东省中职骨干教师“中餐烹饪与营养膳食（潮菜方向）”培训班、广东省中式烹调师考评员培训、“商科专业现代学徒制试点与专业和课程建设”素质提升培训班、2018年工科类现代学徒制骨干教师专项素质提升培训（国培）；陈志东老师先后参加了广东省中职骨干教师培训、“中餐烹饪与营养膳食（粤菜方向）培训班”、广东省第十六期中职骨干班主任培训班；范青娜老师先后参加广东省中职骨干教师西点制作培训班、省赛烹饪项目指导老师培训。教师积极参加国培和省培，不断丰富自己的知识和技术水平，不断提高自己的专业素质。</w:t>
      </w:r>
    </w:p>
    <w:p>
      <w:pPr>
        <w:spacing w:line="500" w:lineRule="exact"/>
        <w:ind w:firstLine="480"/>
        <w:rPr>
          <w:rFonts w:hint="eastAsia" w:ascii="宋体" w:hAnsi="宋体"/>
        </w:rPr>
      </w:pPr>
      <w:r>
        <w:rPr>
          <w:rFonts w:hint="eastAsia" w:ascii="宋体" w:hAnsi="宋体"/>
        </w:rPr>
        <w:t>2．加强校企合作办学，提高人才培养质量。</w:t>
      </w:r>
    </w:p>
    <w:p>
      <w:pPr>
        <w:spacing w:line="500" w:lineRule="exact"/>
        <w:ind w:firstLine="480"/>
        <w:rPr>
          <w:rFonts w:hint="eastAsia" w:ascii="宋体" w:hAnsi="宋体"/>
        </w:rPr>
      </w:pPr>
      <w:r>
        <w:rPr>
          <w:rFonts w:hint="eastAsia" w:ascii="宋体" w:hAnsi="宋体"/>
        </w:rPr>
        <w:t>重视中餐烹饪与营养膳食专业与企业合作，合作单位包括揭阳市榕江大酒店有限公司、揭阳市东湖大酒店有限公司、揭阳市鼎胜餐饮投资管理有限公司、揭阳宾馆、揭阳市新群海鲜酒楼有限公司、御景轩食府、揭阳市中天文化酒店有限公司、揭阳市壹厨餐饮有限公司、揭阳市竹故里餐饮管理投资有限公司（明思味）共9家。</w:t>
      </w:r>
    </w:p>
    <w:p>
      <w:pPr>
        <w:spacing w:line="500" w:lineRule="exact"/>
        <w:ind w:firstLine="480"/>
        <w:rPr>
          <w:rFonts w:hint="eastAsia" w:ascii="宋体" w:hAnsi="宋体"/>
        </w:rPr>
      </w:pPr>
      <w:r>
        <w:rPr>
          <w:rFonts w:hint="eastAsia" w:ascii="宋体" w:hAnsi="宋体"/>
        </w:rPr>
        <w:t>3.聘请企业能工巧匠、资深烹饪大师定期到捷和职业技术学校授课。</w:t>
      </w:r>
    </w:p>
    <w:p>
      <w:pPr>
        <w:spacing w:line="500" w:lineRule="exact"/>
        <w:ind w:firstLine="480"/>
        <w:rPr>
          <w:rFonts w:hint="eastAsia" w:ascii="宋体" w:hAnsi="宋体"/>
        </w:rPr>
      </w:pPr>
      <w:r>
        <w:rPr>
          <w:rFonts w:hint="eastAsia" w:ascii="宋体" w:hAnsi="宋体"/>
        </w:rPr>
        <w:t>如资深级注册中国烹饪大师林准兴先生、中式（潮菜）烹饪高级技师林宝城先生、中式（潮菜）烹饪高级技师吴奕强先生、中式（潮菜）烹饪高级技师蔡启辉先生、中式（潮菜）烹饪高级技师肖奕健先生、中式（潮菜）烹饪高级技师林光辉先生、中式（潮菜）烹饪高级技师陈展松先生多次到学校为学生授课，把他们最拿手的潮菜厨艺传授给学生，为烹饪专业发展带来了丰富的技术支持。学校和企业加强交流合作，企业中的粤菜师傅队伍和学校深度合作将有利于培养一批高水平高质量潮菜厨师人才提供了技术保障。</w:t>
      </w:r>
    </w:p>
    <w:p>
      <w:pPr>
        <w:spacing w:line="500" w:lineRule="exact"/>
        <w:ind w:firstLine="480"/>
        <w:rPr>
          <w:rFonts w:hint="eastAsia" w:ascii="宋体" w:hAnsi="宋体"/>
        </w:rPr>
      </w:pPr>
      <w:r>
        <w:rPr>
          <w:rFonts w:hint="eastAsia" w:ascii="宋体" w:hAnsi="宋体"/>
        </w:rPr>
        <w:t>4. 积极培养学生参加历年广东省中职烹饪技能大赛。</w:t>
      </w:r>
    </w:p>
    <w:p>
      <w:pPr>
        <w:spacing w:line="500" w:lineRule="exact"/>
        <w:ind w:firstLine="480"/>
        <w:rPr>
          <w:rFonts w:hint="eastAsia" w:ascii="宋体" w:hAnsi="宋体"/>
        </w:rPr>
      </w:pPr>
      <w:r>
        <w:rPr>
          <w:rFonts w:hint="eastAsia" w:ascii="宋体" w:hAnsi="宋体"/>
        </w:rPr>
        <w:t>以赛促教、以赛促学、以赛促改，提升技术技能人才培养质量，提升学生技能水平、培育工匠精神，使学生和教师在比赛中成长。自开设本专业以来，我校多次代表揭阳市参加了省的烹饪项目技能比赛，均取得了优秀的成绩。如烹饪专业学生黄思恩在郑文焕和陈志东老师的指导下，参加了广东省中职学校技能大赛冷拼与雕刻项目比赛获得三等奖，取得了新的突破。学生方晓健、黄海鸿、郑学基和林婉彤在冷拼与雕刻、中餐热菜、中点比赛中，取得了优秀奖的佳绩。</w:t>
      </w:r>
    </w:p>
    <w:p>
      <w:pPr>
        <w:spacing w:line="500" w:lineRule="exact"/>
        <w:ind w:firstLine="480"/>
        <w:rPr>
          <w:rFonts w:hint="eastAsia" w:ascii="宋体" w:hAnsi="宋体"/>
        </w:rPr>
      </w:pPr>
      <w:r>
        <w:rPr>
          <w:rFonts w:hint="eastAsia" w:ascii="宋体" w:hAnsi="宋体"/>
        </w:rPr>
        <w:t>5.积极参与上级各项专业调研工作，在调研中了解自己、了解社会，不断完善自我。</w:t>
      </w:r>
    </w:p>
    <w:p>
      <w:pPr>
        <w:spacing w:line="500" w:lineRule="exact"/>
        <w:ind w:firstLine="480"/>
        <w:rPr>
          <w:rFonts w:hint="eastAsia" w:ascii="宋体" w:hAnsi="宋体"/>
        </w:rPr>
      </w:pPr>
      <w:r>
        <w:rPr>
          <w:rFonts w:hint="eastAsia" w:ascii="宋体" w:hAnsi="宋体"/>
        </w:rPr>
        <w:t>我校参与了广东省级专业调研项目，“中餐烹饪与营养膳食”专业试行现代学徒制办学模式研究，这是榕城区“粤菜师傅”工程实施的一项重要举措。2018年3月探访15级烹饪专业实习生，深入企业现场调研，召开了2场校企师生会议，向15级实习生发放了40份“实习质量及现代学徒制调查问卷”，回收有效问卷37份。调研活动通过探访实习生，探讨校企合作方式，改进课程设置，进一步探索现代学徒制在烹饪专业校企合作中的实际工作方法与途径，通过实习生对以往课程设置的反馈，得出现代学徒制的课程设计思路。</w:t>
      </w:r>
    </w:p>
    <w:p>
      <w:pPr>
        <w:spacing w:line="500" w:lineRule="exact"/>
        <w:ind w:firstLine="480"/>
        <w:rPr>
          <w:rFonts w:hint="eastAsia" w:ascii="宋体" w:hAnsi="宋体"/>
        </w:rPr>
      </w:pPr>
      <w:r>
        <w:rPr>
          <w:rFonts w:hint="eastAsia" w:ascii="宋体" w:hAnsi="宋体"/>
        </w:rPr>
        <w:t>6.推进“大厨进校园”活动，聘请企业能工巧匠、潮菜大厨作为常驻教师</w:t>
      </w:r>
    </w:p>
    <w:p>
      <w:pPr>
        <w:spacing w:line="500" w:lineRule="exact"/>
        <w:ind w:firstLine="480"/>
        <w:rPr>
          <w:rFonts w:hint="eastAsia" w:ascii="宋体" w:hAnsi="宋体"/>
        </w:rPr>
      </w:pPr>
      <w:r>
        <w:rPr>
          <w:rFonts w:hint="eastAsia" w:ascii="宋体" w:hAnsi="宋体"/>
        </w:rPr>
        <w:t>自2017年10月起，聘请肖奕健师傅作为我校烹饪专业的热菜实训教师，通过引进一线老师傅，将传统潮菜技术带进学校的实训课堂，进一步提升学生的技术水平，让学生学习到一线厨房的实操经验。</w:t>
      </w:r>
    </w:p>
    <w:p>
      <w:pPr>
        <w:spacing w:line="500" w:lineRule="exact"/>
        <w:ind w:firstLine="480"/>
        <w:rPr>
          <w:rFonts w:hint="eastAsia" w:ascii="宋体" w:hAnsi="宋体"/>
        </w:rPr>
      </w:pPr>
      <w:r>
        <w:rPr>
          <w:rFonts w:hint="eastAsia" w:ascii="宋体" w:hAnsi="宋体"/>
        </w:rPr>
        <w:t>7.编著适合现代学徒制的校本教材。</w:t>
      </w:r>
    </w:p>
    <w:p>
      <w:pPr>
        <w:spacing w:line="500" w:lineRule="exact"/>
        <w:ind w:firstLine="480"/>
        <w:rPr>
          <w:rFonts w:hint="eastAsia" w:ascii="宋体" w:hAnsi="宋体"/>
        </w:rPr>
      </w:pPr>
      <w:r>
        <w:rPr>
          <w:rFonts w:hint="eastAsia" w:ascii="宋体" w:hAnsi="宋体"/>
        </w:rPr>
        <w:t>自2017年10月起，本课题组的郑文焕老师与肖奕健老师针对16级学生的实际情况，编著了《捷和烹饪专业潮菜实训教程》，并在课程实施的过程中运用任务导向法、翻转课堂等新的教学模式，对学生进行教学。此外，本课题组的陈志东老师也编著了《捷和烹饪专业刀工实训教程》，与《捷和烹饪专业潮菜实训教程》形成配套，实践“现代学徒制”办学模式下的课程改革。</w:t>
      </w:r>
    </w:p>
    <w:p>
      <w:pPr>
        <w:spacing w:line="500" w:lineRule="exact"/>
        <w:ind w:firstLine="480"/>
        <w:rPr>
          <w:rFonts w:hint="eastAsia" w:ascii="宋体" w:hAnsi="宋体"/>
        </w:rPr>
      </w:pPr>
      <w:r>
        <w:rPr>
          <w:rFonts w:hint="eastAsia" w:ascii="宋体" w:hAnsi="宋体"/>
        </w:rPr>
        <w:t>8.举办烹饪技能大赛，让学生和厨师体验“现代学徒制”。2018年6月10日，由榕城区餐饮协会主办，我校承办的“榕城区首届烹饪技能大赛”在我校烹饪实训中心成功举办，团体赛共有来自榕城区餐饮企业派出的9支队伍参加，加上我校郑文焕、陈志东、郑国彬三位老师组成的捷和代表队，共有10支队伍进行竞赛；个人赛则有来自揭阳各地的20名厨师参赛。在比赛的过程中，现场的每一个炉头都安排了1名16级的烹饪专业学生作为工作人员协助参赛的厨师，学生与厨师直接进行交流，双方都体验了“现代学徒制”。</w:t>
      </w:r>
    </w:p>
    <w:p>
      <w:pPr>
        <w:spacing w:line="500" w:lineRule="exact"/>
        <w:ind w:firstLine="480"/>
        <w:rPr>
          <w:rFonts w:hint="eastAsia" w:ascii="宋体" w:hAnsi="宋体"/>
        </w:rPr>
      </w:pPr>
      <w:r>
        <w:rPr>
          <w:rFonts w:hint="eastAsia" w:ascii="宋体" w:hAnsi="宋体"/>
        </w:rPr>
        <w:t>9.加强社团活动，提高学生课余生活和技能水平。学校烹饪专业除了日常的教学之外，还设立了烹饪社团，以丰富学生的课余生活。除了定期每个星期开展烹饪的第二课堂教学外，还在每个学期举行大型的烹饪义卖活动和校技能比赛等多种有特色的活动，让学生学以致用。</w:t>
      </w:r>
    </w:p>
    <w:p>
      <w:pPr>
        <w:spacing w:line="500" w:lineRule="exact"/>
        <w:ind w:firstLine="480"/>
        <w:rPr>
          <w:rFonts w:hint="eastAsia" w:ascii="宋体" w:hAnsi="宋体"/>
        </w:rPr>
      </w:pPr>
      <w:r>
        <w:rPr>
          <w:rFonts w:hint="eastAsia" w:ascii="宋体" w:hAnsi="宋体"/>
        </w:rPr>
        <w:t>10.实施“双证书制度”，加强技能训练，提高技能水平。学校要求毕业生在毕业时必须取得学历证书和国家职业资格证书，学校设立培训及技能鉴定科，定期组织学生参加国家职业资格鉴定。烹饪专业教学中根椐其国家职业资格标准，加强学生文化基础知识学习和专业技能训练，提高了学生专业学习针对性。烹饪专业学生参加中式师（潮菜中级工）职业资格考核取证率达到98%以上。</w:t>
      </w:r>
    </w:p>
    <w:p>
      <w:pPr>
        <w:spacing w:line="500" w:lineRule="exact"/>
        <w:ind w:firstLine="480"/>
        <w:rPr>
          <w:rFonts w:ascii="宋体" w:hAnsi="宋体"/>
        </w:rPr>
      </w:pPr>
      <w:r>
        <w:rPr>
          <w:rFonts w:hint="eastAsia" w:ascii="宋体" w:hAnsi="宋体"/>
        </w:rPr>
        <w:t>11.继续加大培训基地建设将有效推动“粤菜师傅”工程发展。</w:t>
      </w:r>
    </w:p>
    <w:p>
      <w:pPr>
        <w:spacing w:line="500" w:lineRule="exact"/>
        <w:ind w:firstLine="480"/>
        <w:rPr>
          <w:rFonts w:ascii="宋体" w:hAnsi="宋体"/>
          <w:color w:val="000000"/>
        </w:rPr>
      </w:pPr>
      <w:r>
        <w:rPr>
          <w:rFonts w:hint="eastAsia" w:ascii="宋体" w:hAnsi="宋体"/>
          <w:color w:val="000000"/>
        </w:rPr>
        <w:t>完善烹饪一体化教室、食雕冷拼实训室、热菜实训室等实训培训基地，为学生提供实习实训、工学结合的工作情景，培养学生职业素养，提升学生综合素质。实习实训基地是相关专业技能培训、劳动力培训、技能考核、技能竞赛、教产研发、课程教学、毕业设计、科研项目实践的重要基地。多间实训室更好地划分了场室功能，使得烹饪实训时能够在单独的场室里进行，每天能够同时更多名学生开展更多场次实训，满足更多的学生开展实训实操，从而将我校中餐烹饪与营养膳食专业做强做大，全力推动实施名厨培养、品牌提升、标准建设、产业升级，致力打造一批潮菜名厨、名菜。</w:t>
      </w:r>
    </w:p>
    <w:p>
      <w:pPr>
        <w:ind w:firstLine="480"/>
        <w:rPr>
          <w:rFonts w:ascii="宋体" w:hAnsi="宋体"/>
          <w:color w:val="000000"/>
        </w:rPr>
      </w:pPr>
      <w:r>
        <w:rPr>
          <w:rFonts w:hint="eastAsia" w:ascii="宋体" w:hAnsi="宋体"/>
          <w:color w:val="000000"/>
        </w:rPr>
        <w:t>12.糅合旅游、酒店管理等专业，打造综合特色餐饮培训基地。</w:t>
      </w:r>
    </w:p>
    <w:p>
      <w:pPr>
        <w:ind w:firstLine="480"/>
        <w:rPr>
          <w:rFonts w:ascii="宋体" w:hAnsi="宋体"/>
          <w:color w:val="000000"/>
        </w:rPr>
      </w:pPr>
      <w:r>
        <w:rPr>
          <w:rFonts w:hint="eastAsia" w:ascii="宋体" w:hAnsi="宋体"/>
          <w:color w:val="000000"/>
        </w:rPr>
        <w:t>组织开展技能提升，集中建设打造综合特色餐饮培训基地。着重中餐烹饪技能人才培养，充分挖掘、传承和推广潮菜历史文化底蕴，着力打造“潮菜师傅”特色学校，同时，进一步推动酒店管理、旅游专业的发展，努力形成从烹饪到酒店管理、旅游综合一体化发展模式，助力学校加快振兴发展步伐。</w:t>
      </w:r>
    </w:p>
    <w:p>
      <w:pPr>
        <w:ind w:firstLine="480"/>
        <w:rPr>
          <w:rFonts w:ascii="宋体" w:hAnsi="宋体"/>
          <w:color w:val="000000"/>
        </w:rPr>
      </w:pPr>
      <w:r>
        <w:rPr>
          <w:rFonts w:hint="eastAsia" w:ascii="宋体" w:hAnsi="宋体"/>
          <w:color w:val="000000"/>
        </w:rPr>
        <w:t>13.打造两个以上“潮菜大师工作室”。</w:t>
      </w:r>
    </w:p>
    <w:p>
      <w:pPr>
        <w:ind w:firstLine="480"/>
        <w:rPr>
          <w:rFonts w:ascii="宋体" w:hAnsi="宋体"/>
          <w:color w:val="000000"/>
        </w:rPr>
      </w:pPr>
      <w:r>
        <w:rPr>
          <w:rFonts w:hint="eastAsia" w:ascii="宋体" w:hAnsi="宋体"/>
          <w:color w:val="000000"/>
        </w:rPr>
        <w:t>大师工作室的成立能加快高技能人才集聚，形成技术创新团队，为技术研修、创新、教学改革提供交流平台，推动技能大师实践经验及技术技能创新成果加速传承和推广，更好发挥大师在培养技能人才方面的优势，它将成为技能人才培养的重要模式。学校大师工作室立足行业、企业，发挥大师团队的引领作用，通过创新校企合作模式，合作一批具有区域影响力的企业，提升校企合作紧密度，共建产、学、研校企合作基地，提高人才培养质量。</w:t>
      </w:r>
    </w:p>
    <w:p>
      <w:pPr>
        <w:ind w:firstLine="480"/>
        <w:rPr>
          <w:rFonts w:ascii="宋体" w:hAnsi="宋体"/>
          <w:color w:val="000000"/>
        </w:rPr>
      </w:pPr>
      <w:r>
        <w:rPr>
          <w:rFonts w:hint="eastAsia" w:ascii="宋体" w:hAnsi="宋体"/>
          <w:color w:val="000000"/>
        </w:rPr>
        <w:t>14.建设挂牌潮菜文化研究室。</w:t>
      </w:r>
    </w:p>
    <w:p>
      <w:pPr>
        <w:ind w:firstLine="480"/>
        <w:rPr>
          <w:rFonts w:hint="eastAsia" w:ascii="微软雅黑" w:hAnsi="微软雅黑" w:eastAsia="微软雅黑"/>
          <w:color w:val="333333"/>
          <w:sz w:val="16"/>
          <w:szCs w:val="16"/>
        </w:rPr>
      </w:pPr>
      <w:r>
        <w:rPr>
          <w:rFonts w:hint="eastAsia" w:ascii="宋体" w:hAnsi="宋体"/>
          <w:color w:val="000000"/>
        </w:rPr>
        <w:t>建设潮菜文化研究室，有利于发挥技能人才团队优势，进行潮菜烹饪技艺，潮菜文化等相关领域的技术攻关、技术创新，解决生产技术难题，并将创新成果、绝技绝活、具有特色的技术要领等及时研究总结推广。另一方面，有利于研发开展新技术的应用试点和推广，</w:t>
      </w:r>
      <w:r>
        <w:rPr>
          <w:rFonts w:hint="eastAsia"/>
          <w:color w:val="333333"/>
          <w:sz w:val="17"/>
          <w:szCs w:val="17"/>
        </w:rPr>
        <w:t> </w:t>
      </w:r>
      <w:r>
        <w:rPr>
          <w:rFonts w:hint="eastAsia" w:ascii="宋体" w:hAnsi="宋体"/>
          <w:color w:val="000000"/>
        </w:rPr>
        <w:t>进一步推动潮汕饮食发展。</w:t>
      </w:r>
    </w:p>
    <w:p>
      <w:pPr>
        <w:ind w:firstLine="439" w:firstLineChars="182"/>
        <w:rPr>
          <w:rFonts w:hint="eastAsia" w:ascii="微软雅黑" w:hAnsi="微软雅黑" w:eastAsia="微软雅黑"/>
          <w:b/>
          <w:color w:val="333333"/>
          <w:sz w:val="16"/>
          <w:szCs w:val="16"/>
        </w:rPr>
      </w:pPr>
      <w:r>
        <w:rPr>
          <w:rFonts w:hint="eastAsia" w:ascii="宋体" w:hAnsi="宋体"/>
          <w:b/>
        </w:rPr>
        <w:t>（二）取得的效果</w:t>
      </w:r>
    </w:p>
    <w:p>
      <w:pPr>
        <w:ind w:firstLine="436" w:firstLineChars="182"/>
        <w:rPr>
          <w:rFonts w:hint="eastAsia" w:ascii="宋体" w:hAnsi="宋体"/>
          <w:color w:val="000000"/>
        </w:rPr>
      </w:pPr>
      <w:r>
        <w:rPr>
          <w:rFonts w:hint="eastAsia" w:ascii="宋体" w:hAnsi="宋体"/>
          <w:color w:val="000000"/>
        </w:rPr>
        <w:t>1.广东省技能比赛</w:t>
      </w:r>
    </w:p>
    <w:p>
      <w:pPr>
        <w:ind w:firstLine="480"/>
        <w:jc w:val="center"/>
        <w:rPr>
          <w:rFonts w:hint="eastAsia"/>
        </w:rPr>
      </w:pPr>
      <w:r>
        <w:drawing>
          <wp:inline distT="0" distB="0" distL="0" distR="0">
            <wp:extent cx="2501265" cy="1873885"/>
            <wp:effectExtent l="0" t="0" r="0" b="0"/>
            <wp:docPr id="36" name="图片 36" descr="wps70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wps70E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501265" cy="1873885"/>
                    </a:xfrm>
                    <a:prstGeom prst="rect">
                      <a:avLst/>
                    </a:prstGeom>
                    <a:noFill/>
                    <a:ln>
                      <a:noFill/>
                    </a:ln>
                  </pic:spPr>
                </pic:pic>
              </a:graphicData>
            </a:graphic>
          </wp:inline>
        </w:drawing>
      </w:r>
    </w:p>
    <w:p>
      <w:pPr>
        <w:ind w:firstLine="480"/>
      </w:pPr>
    </w:p>
    <w:p>
      <w:pPr>
        <w:ind w:firstLine="480"/>
      </w:pPr>
      <w:r>
        <w:rPr>
          <w:rFonts w:hint="eastAsia" w:ascii="宋体" w:hAnsi="宋体"/>
          <w:color w:val="000000"/>
          <w:shd w:val="clear" w:color="auto" w:fill="FFFFFF"/>
        </w:rPr>
        <w:t>2.揭阳市榕城区首届烹饪技能大赛</w:t>
      </w:r>
    </w:p>
    <w:p>
      <w:pPr>
        <w:ind w:firstLine="480"/>
        <w:jc w:val="center"/>
      </w:pPr>
    </w:p>
    <w:p>
      <w:pPr>
        <w:ind w:firstLine="480"/>
        <w:jc w:val="center"/>
        <w:rPr>
          <w:rFonts w:hint="eastAsia"/>
        </w:rPr>
      </w:pPr>
      <w:r>
        <w:drawing>
          <wp:inline distT="0" distB="0" distL="0" distR="0">
            <wp:extent cx="2662555" cy="1774825"/>
            <wp:effectExtent l="0" t="0" r="4445" b="0"/>
            <wp:docPr id="34" name="图片 34" descr="wps71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wps713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662555" cy="1774825"/>
                    </a:xfrm>
                    <a:prstGeom prst="rect">
                      <a:avLst/>
                    </a:prstGeom>
                    <a:noFill/>
                    <a:ln>
                      <a:noFill/>
                    </a:ln>
                  </pic:spPr>
                </pic:pic>
              </a:graphicData>
            </a:graphic>
          </wp:inline>
        </w:drawing>
      </w:r>
      <w:r>
        <w:drawing>
          <wp:inline distT="0" distB="0" distL="0" distR="0">
            <wp:extent cx="2680335" cy="1783715"/>
            <wp:effectExtent l="0" t="0" r="5715" b="6985"/>
            <wp:docPr id="33" name="图片 33" descr="wps71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wps714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680335" cy="1783715"/>
                    </a:xfrm>
                    <a:prstGeom prst="rect">
                      <a:avLst/>
                    </a:prstGeom>
                    <a:noFill/>
                    <a:ln>
                      <a:noFill/>
                    </a:ln>
                  </pic:spPr>
                </pic:pic>
              </a:graphicData>
            </a:graphic>
          </wp:inline>
        </w:drawing>
      </w:r>
    </w:p>
    <w:p>
      <w:pPr>
        <w:ind w:firstLine="480"/>
        <w:jc w:val="center"/>
      </w:pPr>
    </w:p>
    <w:p>
      <w:pPr>
        <w:ind w:firstLine="480"/>
        <w:rPr>
          <w:rFonts w:ascii="宋体" w:hAnsi="宋体"/>
          <w:b/>
          <w:bCs/>
        </w:rPr>
      </w:pPr>
      <w:r>
        <w:rPr>
          <w:rFonts w:hint="eastAsia" w:ascii="宋体" w:hAnsi="宋体"/>
        </w:rPr>
        <w:t>3.大师风采</w:t>
      </w:r>
    </w:p>
    <w:p>
      <w:pPr>
        <w:ind w:firstLine="480"/>
        <w:jc w:val="center"/>
        <w:rPr>
          <w:rFonts w:hint="eastAsia"/>
        </w:rPr>
      </w:pPr>
      <w:r>
        <w:drawing>
          <wp:inline distT="0" distB="0" distL="0" distR="0">
            <wp:extent cx="2500630" cy="1666875"/>
            <wp:effectExtent l="0" t="0" r="0" b="9525"/>
            <wp:docPr id="28" name="图片 28" descr="wps7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wps715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501153" cy="1667435"/>
                    </a:xfrm>
                    <a:prstGeom prst="rect">
                      <a:avLst/>
                    </a:prstGeom>
                    <a:noFill/>
                    <a:ln>
                      <a:noFill/>
                    </a:ln>
                  </pic:spPr>
                </pic:pic>
              </a:graphicData>
            </a:graphic>
          </wp:inline>
        </w:drawing>
      </w:r>
      <w:r>
        <w:rPr>
          <w:rFonts w:hint="eastAsia"/>
        </w:rPr>
        <w:t xml:space="preserve"> </w:t>
      </w:r>
      <w:r>
        <w:drawing>
          <wp:inline distT="0" distB="0" distL="0" distR="0">
            <wp:extent cx="2510155" cy="1676400"/>
            <wp:effectExtent l="0" t="0" r="4445" b="0"/>
            <wp:docPr id="27" name="图片 27" descr="wps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wps716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514738" cy="1679226"/>
                    </a:xfrm>
                    <a:prstGeom prst="rect">
                      <a:avLst/>
                    </a:prstGeom>
                    <a:noFill/>
                    <a:ln>
                      <a:noFill/>
                    </a:ln>
                  </pic:spPr>
                </pic:pic>
              </a:graphicData>
            </a:graphic>
          </wp:inline>
        </w:drawing>
      </w:r>
    </w:p>
    <w:p>
      <w:pPr>
        <w:ind w:firstLine="480"/>
        <w:jc w:val="center"/>
        <w:rPr>
          <w:rFonts w:hint="eastAsia"/>
        </w:rPr>
      </w:pPr>
    </w:p>
    <w:p>
      <w:pPr>
        <w:spacing w:line="500" w:lineRule="exact"/>
        <w:ind w:firstLine="480"/>
        <w:rPr>
          <w:rFonts w:hint="eastAsia" w:ascii="宋体" w:hAnsi="宋体"/>
        </w:rPr>
      </w:pPr>
      <w:r>
        <w:rPr>
          <w:rFonts w:hint="eastAsia" w:ascii="宋体" w:hAnsi="宋体"/>
        </w:rPr>
        <w:t>二、中餐烹饪与营养膳食专业现代学徒制办学模式构建</w:t>
      </w:r>
    </w:p>
    <w:p>
      <w:pPr>
        <w:spacing w:line="500" w:lineRule="exact"/>
        <w:ind w:firstLine="480"/>
        <w:rPr>
          <w:rFonts w:ascii="宋体" w:hAnsi="宋体"/>
        </w:rPr>
      </w:pPr>
      <w:r>
        <w:rPr>
          <w:rFonts w:hint="eastAsia" w:ascii="宋体" w:hAnsi="宋体"/>
        </w:rPr>
        <w:t>1．选择组织机构健全，管理制度完善，综合实力强、社会知名度高、对学生吸引力大、培训机制完善，经营状况较好的，有专业对口或相关工作岗位的，具有独立法人资格的企事业单位。 </w:t>
      </w:r>
    </w:p>
    <w:p>
      <w:pPr>
        <w:spacing w:line="500" w:lineRule="exact"/>
        <w:ind w:firstLine="480"/>
        <w:rPr>
          <w:rFonts w:ascii="宋体" w:hAnsi="宋体"/>
        </w:rPr>
      </w:pPr>
      <w:r>
        <w:rPr>
          <w:rFonts w:hint="eastAsia" w:ascii="宋体" w:hAnsi="宋体"/>
        </w:rPr>
        <w:t>2．优先选择与学校有良好合作关系，接受过学校实习学生并取得较好实习，且有强烈意愿开展现代学徒制的企业，针对中餐烹饪与营养膳食专业的特点，在选择合作企业时，主要选择知名度和综合实力较好的高星级酒店、酒楼、餐饮机构、月子会所</w:t>
      </w:r>
      <w:r>
        <w:rPr>
          <w:rFonts w:ascii="宋体" w:hAnsi="宋体"/>
        </w:rPr>
        <w:t>等</w:t>
      </w:r>
      <w:r>
        <w:rPr>
          <w:rFonts w:hint="eastAsia" w:ascii="宋体" w:hAnsi="宋体"/>
        </w:rPr>
        <w:t>，</w:t>
      </w:r>
      <w:r>
        <w:rPr>
          <w:rFonts w:ascii="宋体" w:hAnsi="宋体"/>
        </w:rPr>
        <w:t>就笔者所在的潮汕地区而言</w:t>
      </w:r>
      <w:r>
        <w:rPr>
          <w:rFonts w:hint="eastAsia" w:ascii="宋体" w:hAnsi="宋体"/>
        </w:rPr>
        <w:t>，</w:t>
      </w:r>
      <w:r>
        <w:rPr>
          <w:rFonts w:ascii="宋体" w:hAnsi="宋体"/>
        </w:rPr>
        <w:t>可选择的合作如</w:t>
      </w:r>
      <w:r>
        <w:rPr>
          <w:rFonts w:hint="eastAsia" w:ascii="宋体" w:hAnsi="宋体"/>
        </w:rPr>
        <w:t>：</w:t>
      </w:r>
      <w:r>
        <w:rPr>
          <w:rFonts w:ascii="宋体" w:hAnsi="宋体"/>
        </w:rPr>
        <w:t>汕头喜来登酒店</w:t>
      </w:r>
      <w:r>
        <w:rPr>
          <w:rFonts w:hint="eastAsia" w:ascii="宋体" w:hAnsi="宋体"/>
        </w:rPr>
        <w:t>、</w:t>
      </w:r>
      <w:r>
        <w:rPr>
          <w:rFonts w:ascii="宋体" w:hAnsi="宋体"/>
        </w:rPr>
        <w:t>揭阳榕江大酒店等酒店</w:t>
      </w:r>
      <w:r>
        <w:rPr>
          <w:rFonts w:hint="eastAsia" w:ascii="宋体" w:hAnsi="宋体"/>
        </w:rPr>
        <w:t>，广州金成餐饮集团、</w:t>
      </w:r>
      <w:r>
        <w:rPr>
          <w:rFonts w:ascii="宋体" w:hAnsi="宋体"/>
        </w:rPr>
        <w:t>揭阳鼎盛餐饮集团</w:t>
      </w:r>
      <w:r>
        <w:rPr>
          <w:rFonts w:hint="eastAsia" w:ascii="宋体" w:hAnsi="宋体"/>
        </w:rPr>
        <w:t>等餐饮机构为现代学徒制合作备选对象，在最终确定现代学徒制合作对象时，最重要的选择性因素是企业的积极性，企业在现代学徒制开展过程中必须居于主导位置，否则并不是真正的现代学徒制，所以一个积极想要开展现代学徒制并有能力投入资金和人力物力的大中型企业才是合适的合作企业。</w:t>
      </w:r>
    </w:p>
    <w:p>
      <w:pPr>
        <w:spacing w:line="500" w:lineRule="exact"/>
        <w:ind w:firstLine="480"/>
        <w:rPr>
          <w:rFonts w:ascii="宋体" w:hAnsi="宋体"/>
        </w:rPr>
      </w:pPr>
      <w:r>
        <w:rPr>
          <w:rFonts w:hint="eastAsia" w:ascii="宋体" w:hAnsi="宋体"/>
        </w:rPr>
        <w:t>在确定合作企业后，学校和企业签订现代学徒制合作协议，明确双方的职责、权利和义务，在合作的过程中企业为主导，学校为协助，按照签署的协议各自履行义务、开展现代学徒制活动。</w:t>
      </w:r>
    </w:p>
    <w:p>
      <w:pPr>
        <w:spacing w:line="500" w:lineRule="exact"/>
        <w:ind w:firstLine="480"/>
        <w:rPr>
          <w:rFonts w:hint="eastAsia" w:ascii="宋体" w:hAnsi="宋体"/>
        </w:rPr>
      </w:pPr>
      <w:r>
        <w:rPr>
          <w:rFonts w:hint="eastAsia" w:ascii="宋体" w:hAnsi="宋体"/>
        </w:rPr>
        <w:t>3.企校共同制定培养方案，企校共同制订人才培养方案、合作承担教学内涵建设，企校共同制定与实施现代学徒制“双导师”教师培养与管理办法，明确学校导师和企业导师的培养内容与途径、聘任条件、程序、职责、待遇、奖惩等。</w:t>
      </w:r>
    </w:p>
    <w:p>
      <w:pPr>
        <w:spacing w:line="500" w:lineRule="exact"/>
        <w:ind w:firstLine="480"/>
        <w:rPr>
          <w:rFonts w:ascii="宋体" w:hAnsi="宋体"/>
        </w:rPr>
      </w:pPr>
      <w:r>
        <w:rPr>
          <w:rFonts w:hint="eastAsia" w:ascii="宋体" w:hAnsi="宋体"/>
        </w:rPr>
        <w:t>人才培养方案包括学制和课程设置，中等职业学校的学制为3年，一般的培养形式是“2年在校学习+1年顶岗实习”，而由于现代学徒制要求“工学交替”，并且要求在企业学习和实践的时间不低于50%，所以在设置学制时更多采用“1年基础知识学习+0.5年轮岗见习+0.5年返校学习、考证+1年跟岗顶岗实习”的形式。</w:t>
      </w:r>
    </w:p>
    <w:p>
      <w:pPr>
        <w:spacing w:line="500" w:lineRule="exact"/>
        <w:ind w:firstLine="480"/>
        <w:rPr>
          <w:rFonts w:ascii="宋体" w:hAnsi="宋体"/>
        </w:rPr>
      </w:pPr>
      <w:r>
        <w:rPr>
          <w:rFonts w:hint="eastAsia" w:ascii="宋体" w:hAnsi="宋体"/>
        </w:rPr>
        <w:t>在课程的设置上，在校学习部分，应根据企业和行业的现实需求，设置课程内容，尽量精简理论课程，着重基础技能的训练；在企业学习部分，应当充分利用企业的现有资源，并根据行业的岗位要求和标准，制定实训内容，有针对性的培养学生的实训能力，通过轮岗，让学生充分体验各岗位的工作内容，并最终确定各自的岗位。</w:t>
      </w:r>
    </w:p>
    <w:p>
      <w:pPr>
        <w:spacing w:line="500" w:lineRule="exact"/>
        <w:ind w:firstLine="480"/>
        <w:rPr>
          <w:rFonts w:ascii="宋体" w:hAnsi="宋体"/>
        </w:rPr>
      </w:pPr>
      <w:r>
        <w:rPr>
          <w:rFonts w:hint="eastAsia" w:ascii="宋体" w:hAnsi="宋体"/>
        </w:rPr>
        <w:t>4.招生即招工，签订协议。现代学徒制的第二个特点即“招生即招工”，学生在报读职业学校的现代学徒制试点班时，需经过校方和企方的共同面试，通过面试后，随即与学校和企业签订“三方协议”，确定“招生即招工”，入学后同时拥有“学生”和“员工”两种身份，如果学生未满16周岁，则由在其监护人知情并同意的情况下，学生、监护人与企业、学校四方签订“四方协议”。</w:t>
      </w:r>
    </w:p>
    <w:p>
      <w:pPr>
        <w:spacing w:line="500" w:lineRule="exact"/>
        <w:ind w:firstLine="480"/>
        <w:rPr>
          <w:rFonts w:ascii="宋体" w:hAnsi="宋体"/>
        </w:rPr>
      </w:pPr>
      <w:r>
        <w:rPr>
          <w:rFonts w:hint="eastAsia" w:ascii="宋体" w:hAnsi="宋体"/>
        </w:rPr>
        <w:t>“三方协议”（或“四方协议”）应写明学生的培养方案，明确规定学生在参加现代学徒制培养计划时的权利、职责和义务，明确学生在轮岗见习、跟岗实习、顶岗实习期间能享受的津贴，明确学生在企业实习期间的考核机制和晋升途径。</w:t>
      </w:r>
    </w:p>
    <w:p>
      <w:pPr>
        <w:spacing w:line="500" w:lineRule="exact"/>
        <w:ind w:firstLine="480"/>
        <w:rPr>
          <w:rFonts w:ascii="宋体" w:hAnsi="宋体"/>
        </w:rPr>
      </w:pPr>
      <w:r>
        <w:rPr>
          <w:rFonts w:hint="eastAsia" w:ascii="宋体" w:hAnsi="宋体"/>
        </w:rPr>
        <w:t>5.工学交替，轮岗培训。</w:t>
      </w:r>
      <w:r>
        <w:rPr>
          <w:rFonts w:ascii="宋体" w:hAnsi="宋体"/>
        </w:rPr>
        <w:t>第一学年</w:t>
      </w:r>
      <w:r>
        <w:rPr>
          <w:rFonts w:hint="eastAsia" w:ascii="宋体" w:hAnsi="宋体"/>
        </w:rPr>
        <w:t>，</w:t>
      </w:r>
      <w:r>
        <w:rPr>
          <w:rFonts w:ascii="宋体" w:hAnsi="宋体"/>
        </w:rPr>
        <w:t>学生在学校学习基础技能和专业理论知识</w:t>
      </w:r>
      <w:r>
        <w:rPr>
          <w:rFonts w:hint="eastAsia" w:ascii="宋体" w:hAnsi="宋体"/>
        </w:rPr>
        <w:t>，</w:t>
      </w:r>
      <w:r>
        <w:rPr>
          <w:rFonts w:ascii="宋体" w:hAnsi="宋体"/>
        </w:rPr>
        <w:t>以学生身份了解行业、认识企业、体验岗位。通过一年的学校学习完成基础平台课程包括公共基础课程、专业核心课程的基础部分和“学徒专周”三类课程。使学生逐步养成良好的专业认知与职业兴趣，为学生职业生涯规划奠基，树立职业梦想。第一学年最后一个学月，学生完成选择专业方向和与企业师傅的对接，进入学徒前的准备。学校方（教务处和专业部管理）负责选拔校内指导教师，企业方（人事部及企业技术总监）负责选拔企业师傅，每个师傅带3－5名学生，师傅对学生的指导费，由学校和企业共同承担</w:t>
      </w:r>
      <w:r>
        <w:rPr>
          <w:rFonts w:hint="eastAsia" w:ascii="宋体" w:hAnsi="宋体"/>
        </w:rPr>
        <w:t>。</w:t>
      </w:r>
    </w:p>
    <w:p>
      <w:pPr>
        <w:spacing w:line="500" w:lineRule="exact"/>
        <w:ind w:firstLine="480"/>
        <w:rPr>
          <w:rFonts w:ascii="宋体" w:hAnsi="宋体"/>
        </w:rPr>
      </w:pPr>
      <w:r>
        <w:rPr>
          <w:rFonts w:ascii="宋体" w:hAnsi="宋体"/>
        </w:rPr>
        <w:t>第三学期，学生以“学徒+学生”双重身份，进入企业进行</w:t>
      </w:r>
      <w:r>
        <w:rPr>
          <w:rFonts w:hint="eastAsia" w:ascii="宋体" w:hAnsi="宋体"/>
        </w:rPr>
        <w:t>“轮岗见习”</w:t>
      </w:r>
      <w:r>
        <w:rPr>
          <w:rFonts w:ascii="宋体" w:hAnsi="宋体"/>
        </w:rPr>
        <w:t>实际操作训练，完成实训项目课程。在“师傅和老师”的双师指导下，进行学习，学生在岗位上直接面对每天的工作任务</w:t>
      </w:r>
      <w:r>
        <w:rPr>
          <w:rFonts w:hint="eastAsia" w:ascii="宋体" w:hAnsi="宋体"/>
        </w:rPr>
        <w:t>和</w:t>
      </w:r>
      <w:r>
        <w:rPr>
          <w:rFonts w:ascii="宋体" w:hAnsi="宋体"/>
        </w:rPr>
        <w:t>顾客，以提升实战技能。学生在完成</w:t>
      </w:r>
      <w:r>
        <w:rPr>
          <w:rFonts w:hint="eastAsia" w:ascii="宋体" w:hAnsi="宋体"/>
        </w:rPr>
        <w:t>“轮岗见习”时企业和学校双方应对其进行考核或评估，</w:t>
      </w:r>
      <w:r>
        <w:rPr>
          <w:rFonts w:ascii="宋体" w:hAnsi="宋体"/>
        </w:rPr>
        <w:t>学生如果毕业后进入该企业，此段学徒身份，计入学生的工龄。</w:t>
      </w:r>
    </w:p>
    <w:p>
      <w:pPr>
        <w:spacing w:line="500" w:lineRule="exact"/>
        <w:ind w:firstLine="480"/>
        <w:rPr>
          <w:rFonts w:ascii="宋体" w:hAnsi="宋体"/>
        </w:rPr>
      </w:pPr>
      <w:r>
        <w:rPr>
          <w:rFonts w:hint="eastAsia" w:ascii="宋体" w:hAnsi="宋体"/>
        </w:rPr>
        <w:t>第四学期，学生完成“轮岗见习”返回学校继续学习专业技能和理论知识，并参加国家职业资格证书考证，顺利考取行业从业资格证书的学生则可进入企业实习，未修满学分或未考取职业资格证书的学生则由</w:t>
      </w:r>
      <w:r>
        <w:rPr>
          <w:rFonts w:ascii="宋体" w:hAnsi="宋体"/>
        </w:rPr>
        <w:t>学校统一组织、个性化辅导，直至达标进入企业实习。</w:t>
      </w:r>
    </w:p>
    <w:p>
      <w:pPr>
        <w:spacing w:line="500" w:lineRule="exact"/>
        <w:ind w:firstLine="480"/>
        <w:rPr>
          <w:rFonts w:ascii="宋体" w:hAnsi="宋体"/>
        </w:rPr>
      </w:pPr>
      <w:r>
        <w:rPr>
          <w:rFonts w:ascii="宋体" w:hAnsi="宋体"/>
        </w:rPr>
        <w:t>第三学年，学生在工作岗位锻炼综合职业能力，专业技术和职业道德要求均须达到企业的用人标准</w:t>
      </w:r>
      <w:r>
        <w:rPr>
          <w:rFonts w:hint="eastAsia" w:ascii="宋体" w:hAnsi="宋体"/>
        </w:rPr>
        <w:t>且考取职业资格证书后，</w:t>
      </w:r>
      <w:r>
        <w:rPr>
          <w:rFonts w:ascii="宋体" w:hAnsi="宋体"/>
        </w:rPr>
        <w:t>以“准员工”身份</w:t>
      </w:r>
      <w:r>
        <w:rPr>
          <w:rFonts w:hint="eastAsia" w:ascii="宋体" w:hAnsi="宋体"/>
        </w:rPr>
        <w:t>进入企业进行“跟岗实习”和“顶岗实习”，并</w:t>
      </w:r>
      <w:r>
        <w:rPr>
          <w:rFonts w:ascii="宋体" w:hAnsi="宋体"/>
        </w:rPr>
        <w:t>按照相应标准，领取薪资</w:t>
      </w:r>
      <w:r>
        <w:rPr>
          <w:rFonts w:hint="eastAsia" w:ascii="宋体" w:hAnsi="宋体"/>
        </w:rPr>
        <w:t>，期间仍由“企业和学校”双方进行培养和考核，</w:t>
      </w:r>
      <w:r>
        <w:rPr>
          <w:rFonts w:ascii="宋体" w:hAnsi="宋体"/>
        </w:rPr>
        <w:t>经考核合格的学生</w:t>
      </w:r>
      <w:r>
        <w:rPr>
          <w:rFonts w:hint="eastAsia" w:ascii="宋体" w:hAnsi="宋体"/>
        </w:rPr>
        <w:t>可顺利毕业，并可选择留在实习企业继续工作。</w:t>
      </w:r>
    </w:p>
    <w:p>
      <w:pPr>
        <w:spacing w:line="500" w:lineRule="exact"/>
        <w:ind w:firstLine="480"/>
        <w:rPr>
          <w:rFonts w:ascii="宋体" w:hAnsi="宋体"/>
        </w:rPr>
      </w:pPr>
      <w:r>
        <w:rPr>
          <w:rFonts w:hint="eastAsia" w:ascii="宋体" w:hAnsi="宋体"/>
        </w:rPr>
        <w:t>6.多种考核和奖励机制学生在校学习期间接受学校的考核，在企业学习实训期间接受“师傅和老师”的双师考核，考核的形式多样，在校和在企业学习期间主要根据考勤纪律、学业成绩、技能水平、业务能力等对学生进行考核，根据学生的实际表现情况酌情给分。</w:t>
      </w:r>
    </w:p>
    <w:p>
      <w:pPr>
        <w:spacing w:line="500" w:lineRule="exact"/>
        <w:ind w:firstLine="480"/>
        <w:rPr>
          <w:rFonts w:ascii="宋体" w:hAnsi="宋体"/>
        </w:rPr>
      </w:pPr>
      <w:r>
        <w:rPr>
          <w:rFonts w:hint="eastAsia" w:ascii="宋体" w:hAnsi="宋体"/>
        </w:rPr>
        <w:t>学校对开展试点的院系、教师等，在评优评先、教师培训、科研和教改立项等工作中优先考虑；设立试点专项经费，支持试点专业开展专业教学标准研制、课程建设和教研教改等，以及对到企业上课的教师给以合理补助等。</w:t>
      </w:r>
    </w:p>
    <w:p>
      <w:pPr>
        <w:spacing w:line="500" w:lineRule="exact"/>
        <w:ind w:firstLine="480"/>
        <w:rPr>
          <w:rFonts w:hint="eastAsia" w:ascii="宋体" w:hAnsi="宋体"/>
        </w:rPr>
      </w:pPr>
      <w:r>
        <w:rPr>
          <w:rFonts w:hint="eastAsia" w:ascii="宋体" w:hAnsi="宋体"/>
        </w:rPr>
        <w:t>合作企业应出台激励在岗员工报读现代学徒制的政策措施；合理安排学徒岗位和发放律贴，对于通过考核的学徒应当给予合理的薪资提升或津贴补助，对学徒的晋升和发展提供路径和支持。</w:t>
      </w:r>
    </w:p>
    <w:p>
      <w:pPr>
        <w:spacing w:line="500" w:lineRule="exact"/>
        <w:ind w:firstLine="480"/>
        <w:rPr>
          <w:rFonts w:ascii="宋体" w:hAnsi="宋体"/>
        </w:rPr>
      </w:pPr>
      <w:r>
        <w:rPr>
          <w:rFonts w:hint="eastAsia" w:ascii="宋体" w:hAnsi="宋体"/>
        </w:rPr>
        <w:t>8.就业“零对接”</w:t>
      </w:r>
      <w:r>
        <w:rPr>
          <w:rFonts w:ascii="宋体" w:hAnsi="宋体"/>
        </w:rPr>
        <w:t>顶岗实习结束，参与现代学徒制试点的学生，其职业态度、专业技能、企业文化认同等方面已高度契合企业需求，均可直接与实习企业签订用工协议</w:t>
      </w:r>
      <w:r>
        <w:rPr>
          <w:rFonts w:hint="eastAsia" w:ascii="宋体" w:hAnsi="宋体"/>
        </w:rPr>
        <w:t>，并且可以直接投入到实习企业的岗位进行工作，不需要企业再进行岗前培训，</w:t>
      </w:r>
      <w:r>
        <w:rPr>
          <w:rFonts w:ascii="宋体" w:hAnsi="宋体"/>
        </w:rPr>
        <w:t>实现就业</w:t>
      </w:r>
      <w:r>
        <w:rPr>
          <w:rFonts w:hint="eastAsia" w:ascii="宋体" w:hAnsi="宋体"/>
        </w:rPr>
        <w:t>“零对接”。</w:t>
      </w:r>
      <w:r>
        <w:rPr>
          <w:rFonts w:ascii="宋体" w:hAnsi="宋体"/>
        </w:rPr>
        <w:t>试点学生成熟期普遍较非现代学徒制学生的岗位成熟期提前了1－2年。</w:t>
      </w:r>
    </w:p>
    <w:p>
      <w:pPr>
        <w:ind w:firstLine="643"/>
        <w:jc w:val="center"/>
        <w:rPr>
          <w:rFonts w:hint="eastAsia"/>
          <w:b/>
          <w:sz w:val="32"/>
          <w:szCs w:val="36"/>
        </w:rPr>
      </w:pPr>
    </w:p>
    <w:p>
      <w:pPr>
        <w:pStyle w:val="3"/>
        <w:rPr>
          <w:kern w:val="0"/>
        </w:rPr>
      </w:pPr>
      <w:bookmarkStart w:id="248" w:name="_Toc29995208"/>
      <w:r>
        <w:rPr>
          <w:rFonts w:hint="eastAsia"/>
          <w:kern w:val="0"/>
        </w:rPr>
        <w:t>7.2 创新</w:t>
      </w:r>
      <w:bookmarkEnd w:id="247"/>
      <w:r>
        <w:rPr>
          <w:rFonts w:hint="eastAsia"/>
          <w:kern w:val="0"/>
        </w:rPr>
        <w:t>校园文化建设</w:t>
      </w:r>
      <w:bookmarkEnd w:id="248"/>
    </w:p>
    <w:p>
      <w:pPr>
        <w:spacing w:line="500" w:lineRule="exact"/>
        <w:ind w:firstLine="480"/>
        <w:jc w:val="center"/>
        <w:rPr>
          <w:rFonts w:ascii="仿宋" w:hAnsi="仿宋" w:eastAsia="仿宋" w:cs="仿宋"/>
          <w:b/>
          <w:sz w:val="32"/>
          <w:szCs w:val="32"/>
        </w:rPr>
      </w:pPr>
      <w:r>
        <w:rPr>
          <w:rFonts w:hint="eastAsia"/>
        </w:rPr>
        <w:t xml:space="preserve">    </w:t>
      </w:r>
      <w:r>
        <w:rPr>
          <w:rFonts w:hint="eastAsia" w:ascii="仿宋" w:hAnsi="仿宋" w:eastAsia="仿宋" w:cs="仿宋"/>
          <w:b/>
          <w:sz w:val="32"/>
          <w:szCs w:val="32"/>
        </w:rPr>
        <w:t>中职依法治校与人文关怀实践研究</w:t>
      </w:r>
    </w:p>
    <w:p>
      <w:pPr>
        <w:spacing w:line="500" w:lineRule="exact"/>
        <w:ind w:firstLine="562"/>
        <w:jc w:val="center"/>
        <w:rPr>
          <w:rFonts w:ascii="仿宋" w:hAnsi="仿宋" w:eastAsia="仿宋" w:cs="仿宋"/>
          <w:b/>
          <w:sz w:val="28"/>
          <w:szCs w:val="28"/>
        </w:rPr>
      </w:pPr>
      <w:r>
        <w:rPr>
          <w:rFonts w:hint="eastAsia" w:ascii="仿宋" w:hAnsi="仿宋" w:eastAsia="仿宋" w:cs="仿宋"/>
          <w:b/>
          <w:sz w:val="28"/>
          <w:szCs w:val="28"/>
        </w:rPr>
        <w:t>——揭阳捷和职业技术学校法治人文校园治理体系建设案例</w:t>
      </w:r>
    </w:p>
    <w:p>
      <w:pPr>
        <w:spacing w:line="500" w:lineRule="exact"/>
        <w:ind w:firstLine="482"/>
        <w:rPr>
          <w:rFonts w:ascii="仿宋" w:hAnsi="仿宋" w:eastAsia="仿宋" w:cs="仿宋"/>
          <w:b/>
        </w:rPr>
      </w:pPr>
    </w:p>
    <w:p>
      <w:pPr>
        <w:spacing w:line="500" w:lineRule="exact"/>
        <w:ind w:firstLine="482"/>
        <w:rPr>
          <w:rFonts w:ascii="仿宋" w:hAnsi="仿宋" w:eastAsia="仿宋" w:cs="仿宋"/>
          <w:b/>
        </w:rPr>
      </w:pPr>
      <w:r>
        <w:rPr>
          <w:rFonts w:hint="eastAsia" w:ascii="仿宋" w:hAnsi="仿宋" w:eastAsia="仿宋" w:cs="仿宋"/>
          <w:b/>
        </w:rPr>
        <w:t>一、建设背景：</w:t>
      </w:r>
    </w:p>
    <w:p>
      <w:pPr>
        <w:spacing w:line="500" w:lineRule="exact"/>
        <w:ind w:firstLine="480"/>
        <w:rPr>
          <w:rFonts w:ascii="仿宋" w:hAnsi="仿宋" w:eastAsia="仿宋" w:cs="仿宋"/>
        </w:rPr>
      </w:pPr>
      <w:r>
        <w:rPr>
          <w:rFonts w:hint="eastAsia" w:ascii="仿宋" w:hAnsi="仿宋" w:eastAsia="仿宋" w:cs="仿宋"/>
        </w:rPr>
        <w:t>作为国家级重点中等职业学校，我校有着丰厚的文化积淀和悠久的教育传统，办学根深叶茂，文脉源远流长。一直以来，我校不断探索校园文化的建设，围绕“立德树人”的中心，完善校园文化体系，为学校可持续的发展打下坚实基础。</w:t>
      </w:r>
    </w:p>
    <w:p>
      <w:pPr>
        <w:spacing w:line="500" w:lineRule="exact"/>
        <w:ind w:firstLine="480"/>
        <w:rPr>
          <w:rFonts w:ascii="仿宋" w:hAnsi="仿宋" w:eastAsia="仿宋" w:cs="仿宋"/>
        </w:rPr>
      </w:pPr>
      <w:r>
        <w:rPr>
          <w:rFonts w:hint="eastAsia" w:ascii="仿宋" w:hAnsi="仿宋" w:eastAsia="仿宋" w:cs="仿宋"/>
        </w:rPr>
        <w:t>2013年我校获得广东省重点德育科研课题“优秀结题”的《中职学校规范管理与人文关怀研究》，形成了“四文建校”的办学特色文化。2016年，为进一步提升办学内涵，我校于8月申报广东省十三五规划教育科学项目《中职依法治校与人文关怀实践》，并于2017年3月立项为省级科研重点项目。经过两年多的实践研究，该科研项目于2019年10月圆满结项，并获得“优秀”等级。该科研项目的圆满结项进一步完善、提升我校的“一二三四五”的校园文化建设体系，形成</w:t>
      </w:r>
      <w:r>
        <w:rPr>
          <w:rFonts w:hint="eastAsia" w:ascii="仿宋" w:hAnsi="仿宋" w:eastAsia="仿宋"/>
          <w:spacing w:val="-3"/>
        </w:rPr>
        <w:t>“四文建校”“四和治校”的校园办学特色文化，全面履行学校文化育人职能，建设规范化、民主化、</w:t>
      </w:r>
      <w:r>
        <w:rPr>
          <w:rFonts w:hint="eastAsia" w:ascii="仿宋" w:hAnsi="仿宋" w:eastAsia="仿宋" w:cs="仿宋"/>
        </w:rPr>
        <w:t>人性化、科学化的校园管理体系，培养有文化、备文德、具文艺、讲文明的中职人才，保证学校朝着正确的方向、按照预定的目标规范拓展，对学校的发展、提升意义重大，有利于法治人文和谐校园文化的构建。</w:t>
      </w:r>
    </w:p>
    <w:p>
      <w:pPr>
        <w:spacing w:line="500" w:lineRule="exact"/>
        <w:ind w:firstLine="482"/>
        <w:rPr>
          <w:rFonts w:ascii="仿宋" w:hAnsi="仿宋" w:eastAsia="仿宋"/>
          <w:b/>
          <w:spacing w:val="-3"/>
        </w:rPr>
      </w:pPr>
      <w:r>
        <w:rPr>
          <w:rFonts w:hint="eastAsia" w:ascii="仿宋" w:hAnsi="仿宋" w:eastAsia="仿宋" w:cs="仿宋"/>
          <w:b/>
        </w:rPr>
        <w:t>二、建设目标</w:t>
      </w:r>
    </w:p>
    <w:p>
      <w:pPr>
        <w:spacing w:line="500" w:lineRule="exact"/>
        <w:ind w:firstLine="468"/>
        <w:rPr>
          <w:rFonts w:ascii="仿宋" w:hAnsi="仿宋" w:eastAsia="仿宋"/>
          <w:spacing w:val="-3"/>
        </w:rPr>
      </w:pPr>
      <w:r>
        <w:rPr>
          <w:rFonts w:ascii="仿宋" w:hAnsi="仿宋" w:eastAsia="仿宋"/>
          <w:spacing w:val="-3"/>
        </w:rPr>
        <w:t>通过本</w:t>
      </w:r>
      <w:r>
        <w:rPr>
          <w:rFonts w:hint="eastAsia" w:ascii="仿宋" w:hAnsi="仿宋" w:eastAsia="仿宋"/>
          <w:spacing w:val="-3"/>
        </w:rPr>
        <w:t>科研项目</w:t>
      </w:r>
      <w:r>
        <w:rPr>
          <w:rFonts w:ascii="仿宋" w:hAnsi="仿宋" w:eastAsia="仿宋"/>
          <w:spacing w:val="-3"/>
        </w:rPr>
        <w:t>的研究，改革学校传统落后的管理体制</w:t>
      </w:r>
      <w:r>
        <w:rPr>
          <w:rFonts w:hint="eastAsia" w:ascii="仿宋" w:hAnsi="仿宋" w:eastAsia="仿宋"/>
          <w:spacing w:val="-3"/>
        </w:rPr>
        <w:t>文化</w:t>
      </w:r>
      <w:r>
        <w:rPr>
          <w:rFonts w:ascii="仿宋" w:hAnsi="仿宋" w:eastAsia="仿宋"/>
          <w:spacing w:val="-3"/>
        </w:rPr>
        <w:t>，完善校园文化建设</w:t>
      </w:r>
      <w:r>
        <w:rPr>
          <w:rFonts w:hint="eastAsia" w:ascii="仿宋" w:hAnsi="仿宋" w:eastAsia="仿宋"/>
          <w:spacing w:val="-3"/>
        </w:rPr>
        <w:t>的管理</w:t>
      </w:r>
      <w:r>
        <w:rPr>
          <w:rFonts w:ascii="仿宋" w:hAnsi="仿宋" w:eastAsia="仿宋"/>
          <w:spacing w:val="-3"/>
        </w:rPr>
        <w:t>体系，</w:t>
      </w:r>
      <w:r>
        <w:rPr>
          <w:rFonts w:hint="eastAsia" w:ascii="仿宋" w:hAnsi="仿宋" w:eastAsia="仿宋"/>
          <w:spacing w:val="-3"/>
        </w:rPr>
        <w:t>实现</w:t>
      </w:r>
      <w:r>
        <w:rPr>
          <w:rFonts w:ascii="仿宋" w:hAnsi="仿宋" w:eastAsia="仿宋"/>
          <w:spacing w:val="-3"/>
        </w:rPr>
        <w:t>管理的规范</w:t>
      </w:r>
      <w:r>
        <w:rPr>
          <w:rFonts w:hint="eastAsia" w:ascii="仿宋" w:hAnsi="仿宋" w:eastAsia="仿宋"/>
          <w:spacing w:val="-3"/>
        </w:rPr>
        <w:t>化、</w:t>
      </w:r>
      <w:r>
        <w:rPr>
          <w:rFonts w:ascii="仿宋" w:hAnsi="仿宋" w:eastAsia="仿宋"/>
          <w:spacing w:val="-3"/>
        </w:rPr>
        <w:t>民主化</w:t>
      </w:r>
      <w:r>
        <w:rPr>
          <w:rFonts w:hint="eastAsia" w:ascii="仿宋" w:hAnsi="仿宋" w:eastAsia="仿宋"/>
          <w:spacing w:val="-3"/>
        </w:rPr>
        <w:t>、多元化、</w:t>
      </w:r>
      <w:r>
        <w:rPr>
          <w:rFonts w:ascii="仿宋" w:hAnsi="仿宋" w:eastAsia="仿宋"/>
          <w:spacing w:val="-3"/>
        </w:rPr>
        <w:t>科学化</w:t>
      </w:r>
      <w:r>
        <w:rPr>
          <w:rFonts w:hint="eastAsia" w:ascii="仿宋" w:hAnsi="仿宋" w:eastAsia="仿宋"/>
          <w:spacing w:val="-3"/>
        </w:rPr>
        <w:t>，确保“立德树人”目标的实现，</w:t>
      </w:r>
      <w:r>
        <w:rPr>
          <w:rFonts w:ascii="仿宋" w:hAnsi="仿宋" w:eastAsia="仿宋"/>
          <w:spacing w:val="-3"/>
        </w:rPr>
        <w:t>贯彻“一切为了</w:t>
      </w:r>
      <w:r>
        <w:rPr>
          <w:rFonts w:hint="eastAsia" w:ascii="仿宋" w:hAnsi="仿宋" w:eastAsia="仿宋"/>
          <w:spacing w:val="-3"/>
        </w:rPr>
        <w:t>师生的发展</w:t>
      </w:r>
      <w:r>
        <w:rPr>
          <w:rFonts w:ascii="仿宋" w:hAnsi="仿宋" w:eastAsia="仿宋"/>
          <w:spacing w:val="-3"/>
        </w:rPr>
        <w:t>”的人文理念</w:t>
      </w:r>
      <w:r>
        <w:rPr>
          <w:rFonts w:hint="eastAsia" w:ascii="仿宋" w:hAnsi="仿宋" w:eastAsia="仿宋"/>
          <w:spacing w:val="-3"/>
        </w:rPr>
        <w:t>。</w:t>
      </w:r>
      <w:r>
        <w:rPr>
          <w:rFonts w:ascii="仿宋" w:hAnsi="仿宋" w:eastAsia="仿宋"/>
          <w:spacing w:val="-3"/>
        </w:rPr>
        <w:t>尊重学生的主体地位，促使他们形成积极向上的独立个性和健全人格，最终将依法治校和人文关怀相结合这一宏</w:t>
      </w:r>
      <w:r>
        <w:rPr>
          <w:rFonts w:hint="eastAsia" w:ascii="仿宋" w:hAnsi="仿宋" w:eastAsia="仿宋"/>
          <w:spacing w:val="-3"/>
        </w:rPr>
        <w:t>大理念和方略付诸于具体的办学实践过程当中，使学校的管理规范民主，学校的文化氛围浓厚，学校的教学秩序协调，教师善教乐教，学生乐学善学，学校的办学蒸蒸日上，实现 “以人为本、知行合一、担当责任、和谐发展”的办学理念，达成“性格开朗，兴趣广泛，一技之长、社会欢迎”的学生培养目标。</w:t>
      </w:r>
    </w:p>
    <w:p>
      <w:pPr>
        <w:spacing w:line="500" w:lineRule="exact"/>
        <w:ind w:firstLine="470"/>
        <w:rPr>
          <w:rFonts w:ascii="仿宋" w:hAnsi="仿宋" w:eastAsia="仿宋"/>
          <w:spacing w:val="-3"/>
        </w:rPr>
      </w:pPr>
      <w:r>
        <w:rPr>
          <w:rFonts w:hint="eastAsia" w:ascii="仿宋" w:hAnsi="仿宋" w:eastAsia="仿宋"/>
          <w:b/>
          <w:spacing w:val="-3"/>
        </w:rPr>
        <w:t>三、主要做法：</w:t>
      </w:r>
    </w:p>
    <w:p>
      <w:pPr>
        <w:spacing w:line="500" w:lineRule="exact"/>
        <w:ind w:firstLine="470"/>
        <w:rPr>
          <w:rFonts w:ascii="仿宋" w:hAnsi="仿宋" w:eastAsia="仿宋"/>
          <w:b/>
          <w:spacing w:val="-3"/>
        </w:rPr>
      </w:pPr>
      <w:r>
        <w:rPr>
          <w:rFonts w:hint="eastAsia" w:ascii="仿宋" w:hAnsi="仿宋" w:eastAsia="仿宋"/>
          <w:b/>
          <w:spacing w:val="-3"/>
        </w:rPr>
        <w:t>（一）构建法治人文校园核心——依法治校、人文关怀</w:t>
      </w:r>
    </w:p>
    <w:p>
      <w:pPr>
        <w:spacing w:line="500" w:lineRule="exact"/>
        <w:ind w:firstLine="468"/>
        <w:rPr>
          <w:rFonts w:ascii="仿宋" w:hAnsi="仿宋" w:eastAsia="仿宋"/>
          <w:spacing w:val="-3"/>
        </w:rPr>
      </w:pPr>
      <w:r>
        <w:rPr>
          <w:rFonts w:hint="eastAsia" w:ascii="仿宋" w:hAnsi="仿宋" w:eastAsia="仿宋"/>
          <w:spacing w:val="-3"/>
        </w:rPr>
        <w:t>学校是实施教育的主阵地，依法治校，管理制度科学规范化是重要保证；以人为本，和谐共进的教育氛围的营造则是关键，学校治理的核心即为“法治人文”。</w:t>
      </w:r>
    </w:p>
    <w:p>
      <w:pPr>
        <w:spacing w:line="500" w:lineRule="exact"/>
        <w:ind w:firstLine="470"/>
        <w:contextualSpacing/>
        <w:outlineLvl w:val="0"/>
        <w:rPr>
          <w:rFonts w:ascii="仿宋" w:hAnsi="仿宋" w:eastAsia="仿宋"/>
          <w:spacing w:val="-3"/>
        </w:rPr>
      </w:pPr>
      <w:bookmarkStart w:id="249" w:name="_Toc29995209"/>
      <w:r>
        <w:rPr>
          <w:rFonts w:hint="eastAsia" w:ascii="仿宋" w:hAnsi="仿宋" w:eastAsia="仿宋"/>
          <w:b/>
          <w:spacing w:val="-3"/>
        </w:rPr>
        <w:t>1．立章建制，夯实“法治人文”治校基础。</w:t>
      </w:r>
      <w:r>
        <w:rPr>
          <w:rFonts w:hint="eastAsia" w:ascii="仿宋" w:hAnsi="仿宋" w:eastAsia="仿宋"/>
          <w:spacing w:val="-3"/>
        </w:rPr>
        <w:t>2018年，学校重新修订《揭阳捷和职业技术学校规章制度》，修订过程在公开、透明、规范，并及时吸纳各方意见，提高教职工参与学校管理的热情，也体现公平、公正、效益原则。</w:t>
      </w:r>
      <w:bookmarkEnd w:id="249"/>
    </w:p>
    <w:p>
      <w:pPr>
        <w:spacing w:line="500" w:lineRule="exact"/>
        <w:ind w:firstLine="470"/>
        <w:contextualSpacing/>
        <w:outlineLvl w:val="0"/>
        <w:rPr>
          <w:rFonts w:ascii="仿宋" w:hAnsi="仿宋" w:eastAsia="仿宋" w:cs="仿宋"/>
        </w:rPr>
      </w:pPr>
      <w:bookmarkStart w:id="250" w:name="_Toc29995210"/>
      <w:r>
        <w:rPr>
          <w:rFonts w:hint="eastAsia" w:ascii="仿宋" w:hAnsi="仿宋" w:eastAsia="仿宋"/>
          <w:b/>
          <w:spacing w:val="-3"/>
        </w:rPr>
        <w:t>2．思想引领，树立 “法治人文”管理理念。</w:t>
      </w:r>
      <w:r>
        <w:rPr>
          <w:rFonts w:hint="eastAsia" w:ascii="仿宋" w:hAnsi="仿宋" w:eastAsia="仿宋"/>
          <w:spacing w:val="-3"/>
        </w:rPr>
        <w:t>引领全校师生团结一致、奋发向上，形成最大的合力。学校领导层</w:t>
      </w:r>
      <w:bookmarkStart w:id="251" w:name="_Hlk519696155"/>
      <w:r>
        <w:rPr>
          <w:rFonts w:hint="eastAsia" w:ascii="仿宋" w:hAnsi="仿宋" w:eastAsia="仿宋"/>
          <w:spacing w:val="-3"/>
        </w:rPr>
        <w:t>关心培育教师，</w:t>
      </w:r>
      <w:bookmarkEnd w:id="251"/>
      <w:r>
        <w:rPr>
          <w:rFonts w:hint="eastAsia" w:ascii="仿宋" w:hAnsi="仿宋" w:eastAsia="仿宋"/>
          <w:spacing w:val="-3"/>
        </w:rPr>
        <w:t>教师们关爱教导学生，形成良好的教书育人好氛围、好校风，构筑“和谐校园；系统、全面、科学地研究学校的历史与独特文化及目前、将来的发展条件，强调培养人才的前瞻意识，形成一个关注师生、学校发展的人文氛围。</w:t>
      </w:r>
      <w:bookmarkEnd w:id="250"/>
    </w:p>
    <w:p>
      <w:pPr>
        <w:spacing w:line="500" w:lineRule="exact"/>
        <w:ind w:firstLine="470"/>
        <w:rPr>
          <w:rFonts w:ascii="仿宋" w:hAnsi="仿宋" w:eastAsia="仿宋"/>
          <w:spacing w:val="-3"/>
        </w:rPr>
      </w:pPr>
      <w:r>
        <w:rPr>
          <w:rFonts w:hint="eastAsia" w:ascii="仿宋" w:hAnsi="仿宋" w:eastAsia="仿宋"/>
          <w:b/>
          <w:spacing w:val="-3"/>
        </w:rPr>
        <w:t>3．以人为本，强化民主管理师生主体地位。</w:t>
      </w:r>
      <w:r>
        <w:rPr>
          <w:rFonts w:hint="eastAsia" w:ascii="仿宋" w:hAnsi="仿宋" w:eastAsia="仿宋"/>
          <w:spacing w:val="-3"/>
        </w:rPr>
        <w:t>师生的民主权利是法治校园建设的出发点和落脚点，体现了人文精神和终极关怀。学校要重视民主科学管理，尊重和保护师生的权利，弘扬民主理念、健全民主制度、丰富民主形式、完善民主程序。</w:t>
      </w:r>
    </w:p>
    <w:p>
      <w:pPr>
        <w:spacing w:line="500" w:lineRule="exact"/>
        <w:ind w:firstLine="470"/>
        <w:rPr>
          <w:rFonts w:ascii="仿宋" w:hAnsi="仿宋" w:eastAsia="仿宋"/>
          <w:spacing w:val="-3"/>
        </w:rPr>
      </w:pPr>
      <w:r>
        <w:rPr>
          <w:rFonts w:hint="eastAsia" w:ascii="仿宋" w:hAnsi="仿宋" w:eastAsia="仿宋"/>
          <w:b/>
          <w:spacing w:val="-3"/>
        </w:rPr>
        <w:t>4．柔性激励，培育师生“法治文明校园”归属感。</w:t>
      </w:r>
      <w:r>
        <w:rPr>
          <w:rFonts w:hint="eastAsia" w:ascii="仿宋" w:hAnsi="仿宋" w:eastAsia="仿宋"/>
          <w:spacing w:val="-3"/>
        </w:rPr>
        <w:t>使师生员工产生强烈的归属感，乐于接受并遵循学校的各项制度，并愿意奉献自己的聪明才智，为共同创造学校的美好明天而努力工作。</w:t>
      </w:r>
    </w:p>
    <w:p>
      <w:pPr>
        <w:spacing w:line="500" w:lineRule="exact"/>
        <w:ind w:firstLine="470"/>
        <w:rPr>
          <w:rFonts w:ascii="仿宋" w:hAnsi="仿宋" w:eastAsia="仿宋"/>
          <w:spacing w:val="-3"/>
        </w:rPr>
      </w:pPr>
      <w:r>
        <w:rPr>
          <w:rFonts w:hint="eastAsia" w:ascii="仿宋" w:hAnsi="仿宋" w:eastAsia="仿宋"/>
          <w:b/>
          <w:spacing w:val="-3"/>
        </w:rPr>
        <w:t>5．普法教育，厚植“法治人文校园”建设沃土。</w:t>
      </w:r>
      <w:r>
        <w:rPr>
          <w:rFonts w:hint="eastAsia" w:ascii="仿宋" w:hAnsi="仿宋" w:eastAsia="仿宋"/>
          <w:spacing w:val="-3"/>
        </w:rPr>
        <w:t>在常规普法基础上，启动“检校合作”，成立未成年人观护基地、阳光行检察官工作室、阳光法律沙龙小组，并开展 “法治进校园”一系列活动，形式新颖，内容丰富，把法治文化作为校园文化建设的重要组成部分，渗透到日常的行为规范、教学要求中，营造体现法治精神的文化氛围，达成很好的学法普法用法效果。</w:t>
      </w:r>
    </w:p>
    <w:p>
      <w:pPr>
        <w:spacing w:line="500" w:lineRule="exact"/>
        <w:ind w:firstLine="470"/>
        <w:rPr>
          <w:rFonts w:ascii="仿宋" w:hAnsi="仿宋" w:eastAsia="仿宋"/>
          <w:spacing w:val="-3"/>
        </w:rPr>
      </w:pPr>
      <w:r>
        <w:rPr>
          <w:rFonts w:hint="eastAsia" w:ascii="仿宋" w:hAnsi="仿宋" w:eastAsia="仿宋"/>
          <w:b/>
          <w:spacing w:val="-3"/>
        </w:rPr>
        <w:t>6．人文关怀，营造“法治人文校园”和谐氛围。</w:t>
      </w:r>
      <w:r>
        <w:rPr>
          <w:rFonts w:hint="eastAsia" w:ascii="仿宋" w:hAnsi="仿宋" w:eastAsia="仿宋"/>
          <w:spacing w:val="-3"/>
        </w:rPr>
        <w:t>人文关怀和依法治校的相互补充，为学校内部治理结构的完善提供一种持久的、稳定的张力。创设和谐宽松的学校工作环境，满足教职工精神上物质上的各种需求，形成和谐的人际关系是实现依法治校的有效途径。</w:t>
      </w:r>
    </w:p>
    <w:p>
      <w:pPr>
        <w:spacing w:line="500" w:lineRule="exact"/>
        <w:ind w:firstLine="470"/>
        <w:rPr>
          <w:rFonts w:ascii="仿宋" w:hAnsi="仿宋" w:eastAsia="仿宋"/>
          <w:b/>
          <w:spacing w:val="-3"/>
        </w:rPr>
      </w:pPr>
      <w:r>
        <w:rPr>
          <w:rFonts w:hint="eastAsia" w:ascii="仿宋" w:hAnsi="仿宋" w:eastAsia="仿宋"/>
          <w:b/>
          <w:spacing w:val="-3"/>
        </w:rPr>
        <w:t>（二）搭建法治人文实践途径——“富之”、“教之”、“治之”</w:t>
      </w:r>
    </w:p>
    <w:p>
      <w:pPr>
        <w:spacing w:line="500" w:lineRule="exact"/>
        <w:ind w:firstLine="468"/>
        <w:rPr>
          <w:rFonts w:ascii="仿宋" w:hAnsi="仿宋" w:eastAsia="仿宋"/>
          <w:spacing w:val="-3"/>
        </w:rPr>
      </w:pPr>
      <w:r>
        <w:rPr>
          <w:rFonts w:hint="eastAsia" w:ascii="仿宋" w:hAnsi="仿宋" w:eastAsia="仿宋"/>
          <w:spacing w:val="-3"/>
        </w:rPr>
        <w:t>学校设计开展丰富的法治人文活动，让师生积极参与体验，让法治人文理念的文化种子发芽成长，提升师生法治人文法律意识。</w:t>
      </w:r>
    </w:p>
    <w:p>
      <w:pPr>
        <w:spacing w:line="500" w:lineRule="exact"/>
        <w:ind w:firstLine="470"/>
        <w:rPr>
          <w:rFonts w:ascii="仿宋" w:hAnsi="仿宋" w:eastAsia="仿宋"/>
          <w:b/>
          <w:spacing w:val="-3"/>
        </w:rPr>
      </w:pPr>
      <w:r>
        <w:rPr>
          <w:rFonts w:hint="eastAsia" w:ascii="仿宋" w:hAnsi="仿宋" w:eastAsia="仿宋"/>
          <w:b/>
          <w:spacing w:val="-3"/>
        </w:rPr>
        <w:t>1.“富之”：普及法治人文法律知识</w:t>
      </w:r>
    </w:p>
    <w:p>
      <w:pPr>
        <w:spacing w:line="500" w:lineRule="exact"/>
        <w:ind w:firstLine="468"/>
        <w:rPr>
          <w:rFonts w:ascii="仿宋" w:hAnsi="仿宋" w:eastAsia="仿宋"/>
          <w:spacing w:val="-3"/>
        </w:rPr>
      </w:pPr>
      <w:r>
        <w:rPr>
          <w:rFonts w:hint="eastAsia" w:ascii="仿宋" w:hAnsi="仿宋" w:eastAsia="仿宋"/>
          <w:spacing w:val="-3"/>
        </w:rPr>
        <w:t>学校开展普法嘉年华一系列活动，护航校园安全，杜绝校园欺凌等；以师生喜闻乐见的方式，搭建参与、提升文化认识的平台，开辟师生乐于参与的学法渠道；教育引导、积极推进、实践养成、制度保障，逐步转化为师生的情感认同和行为习惯，遵守法律规则，形成法治人文文化土壤，保证师生在共建共享发展中有更多获得感，不断促进人的全面发展，使全体师生共同“富”有之。</w:t>
      </w:r>
    </w:p>
    <w:p>
      <w:pPr>
        <w:spacing w:line="500" w:lineRule="exact"/>
        <w:ind w:firstLine="470"/>
        <w:rPr>
          <w:rFonts w:ascii="仿宋" w:hAnsi="仿宋" w:eastAsia="仿宋"/>
          <w:b/>
          <w:spacing w:val="-3"/>
        </w:rPr>
      </w:pPr>
      <w:r>
        <w:rPr>
          <w:rFonts w:hint="eastAsia" w:ascii="仿宋" w:hAnsi="仿宋" w:eastAsia="仿宋"/>
          <w:b/>
          <w:spacing w:val="-3"/>
        </w:rPr>
        <w:t>2.“教之”：培养法治人文法律思维</w:t>
      </w:r>
    </w:p>
    <w:p>
      <w:pPr>
        <w:spacing w:line="500" w:lineRule="exact"/>
        <w:ind w:firstLine="468"/>
        <w:rPr>
          <w:rFonts w:ascii="仿宋" w:hAnsi="仿宋" w:eastAsia="仿宋"/>
          <w:spacing w:val="-3"/>
        </w:rPr>
      </w:pPr>
      <w:r>
        <w:rPr>
          <w:rFonts w:hint="eastAsia" w:ascii="仿宋" w:hAnsi="仿宋" w:eastAsia="仿宋"/>
          <w:spacing w:val="-3"/>
        </w:rPr>
        <w:t>法治人文教育融和课堂教学，在教育教学中，力求将法治思想与人文精神贯穿于教学过程，力图让学生提升法治观念，讲法律、讲证据、讲程序，养成与法治社会相适应的思维方式和行为方式，并逐层提升。</w:t>
      </w:r>
    </w:p>
    <w:p>
      <w:pPr>
        <w:spacing w:line="500" w:lineRule="exact"/>
        <w:ind w:firstLine="470"/>
        <w:rPr>
          <w:rFonts w:ascii="仿宋" w:hAnsi="仿宋" w:eastAsia="仿宋"/>
          <w:b/>
          <w:spacing w:val="-3"/>
        </w:rPr>
      </w:pPr>
      <w:r>
        <w:rPr>
          <w:rFonts w:hint="eastAsia" w:ascii="仿宋" w:hAnsi="仿宋" w:eastAsia="仿宋"/>
          <w:b/>
          <w:spacing w:val="-3"/>
        </w:rPr>
        <w:t>3.“治之”：实践法治人文主题活动</w:t>
      </w:r>
    </w:p>
    <w:p>
      <w:pPr>
        <w:spacing w:line="500" w:lineRule="exact"/>
        <w:ind w:firstLine="468"/>
        <w:rPr>
          <w:rFonts w:ascii="仿宋" w:hAnsi="仿宋" w:eastAsia="仿宋"/>
          <w:spacing w:val="-3"/>
        </w:rPr>
      </w:pPr>
      <w:r>
        <w:rPr>
          <w:rFonts w:hint="eastAsia" w:ascii="仿宋" w:hAnsi="仿宋" w:eastAsia="仿宋"/>
          <w:spacing w:val="-3"/>
        </w:rPr>
        <w:t>学校围绕法治人文六大主题，以开展法治人文实践系列专题活动为主抓手，贯穿于学校教育管理与办学活动，形成学校管理的主线，彰显法治人文的办学理念，完善学校内部规章制度，实现民主制定、依法办学、自主管理、严格执行、阳光监督，创新激励机制为保障，学校章程制度伴我行等。</w:t>
      </w:r>
    </w:p>
    <w:p>
      <w:pPr>
        <w:spacing w:line="500" w:lineRule="exact"/>
        <w:ind w:firstLine="470"/>
        <w:rPr>
          <w:rFonts w:ascii="仿宋" w:hAnsi="仿宋" w:eastAsia="仿宋"/>
          <w:b/>
          <w:spacing w:val="-3"/>
        </w:rPr>
      </w:pPr>
      <w:r>
        <w:rPr>
          <w:rFonts w:hint="eastAsia" w:ascii="仿宋" w:hAnsi="仿宋" w:eastAsia="仿宋"/>
          <w:b/>
          <w:spacing w:val="-3"/>
        </w:rPr>
        <w:t>（三）形成法治人文治理体系——“一二三四五”治校实践体系</w:t>
      </w:r>
    </w:p>
    <w:p>
      <w:pPr>
        <w:adjustRightInd w:val="0"/>
        <w:snapToGrid w:val="0"/>
        <w:spacing w:line="500" w:lineRule="exact"/>
        <w:ind w:firstLine="470"/>
        <w:jc w:val="left"/>
        <w:rPr>
          <w:rFonts w:ascii="仿宋" w:hAnsi="仿宋" w:eastAsia="仿宋"/>
          <w:spacing w:val="-3"/>
        </w:rPr>
      </w:pPr>
      <w:r>
        <w:rPr>
          <w:rFonts w:hint="eastAsia" w:ascii="仿宋" w:hAnsi="仿宋" w:eastAsia="仿宋"/>
          <w:b/>
          <w:spacing w:val="-3"/>
        </w:rPr>
        <w:t>1.“一”是形成一套全面系统的现代化科学治理体系，</w:t>
      </w:r>
      <w:r>
        <w:rPr>
          <w:rFonts w:hint="eastAsia" w:ascii="仿宋" w:hAnsi="仿宋" w:eastAsia="仿宋"/>
          <w:spacing w:val="-3"/>
        </w:rPr>
        <w:t>确保“立德树人”核心理念落实。</w:t>
      </w:r>
    </w:p>
    <w:p>
      <w:pPr>
        <w:spacing w:line="500" w:lineRule="exact"/>
        <w:ind w:firstLine="470"/>
        <w:rPr>
          <w:rFonts w:ascii="仿宋" w:hAnsi="仿宋" w:eastAsia="仿宋"/>
          <w:spacing w:val="-3"/>
        </w:rPr>
      </w:pPr>
      <w:r>
        <w:rPr>
          <w:rFonts w:hint="eastAsia" w:ascii="仿宋" w:hAnsi="仿宋" w:eastAsia="仿宋"/>
          <w:b/>
          <w:spacing w:val="-3"/>
        </w:rPr>
        <w:t>2．“二”是完成治理</w:t>
      </w:r>
      <w:r>
        <w:rPr>
          <w:rFonts w:ascii="仿宋" w:hAnsi="仿宋" w:eastAsia="仿宋"/>
          <w:b/>
          <w:spacing w:val="-3"/>
        </w:rPr>
        <w:t>框架</w:t>
      </w:r>
      <w:r>
        <w:rPr>
          <w:rFonts w:hint="eastAsia" w:ascii="仿宋" w:hAnsi="仿宋" w:eastAsia="仿宋"/>
          <w:b/>
          <w:spacing w:val="-3"/>
        </w:rPr>
        <w:t>两大抓手的改革。</w:t>
      </w:r>
      <w:r>
        <w:rPr>
          <w:rFonts w:hint="eastAsia" w:ascii="仿宋" w:hAnsi="仿宋" w:eastAsia="仿宋"/>
          <w:spacing w:val="-3"/>
        </w:rPr>
        <w:t>法治和人文两大理念种子生根发芽，成为学校治理的两大抓手，法治和人文通过“和”文化的母体躯干合成一体化。</w:t>
      </w:r>
    </w:p>
    <w:p>
      <w:pPr>
        <w:spacing w:line="500" w:lineRule="exact"/>
        <w:ind w:firstLine="470"/>
        <w:rPr>
          <w:rFonts w:ascii="仿宋" w:hAnsi="仿宋" w:eastAsia="仿宋"/>
          <w:b/>
          <w:spacing w:val="-3"/>
        </w:rPr>
      </w:pPr>
      <w:r>
        <w:rPr>
          <w:rFonts w:hint="eastAsia" w:ascii="仿宋" w:hAnsi="仿宋" w:eastAsia="仿宋"/>
          <w:b/>
          <w:spacing w:val="-3"/>
        </w:rPr>
        <w:t>3．“三”是法治、人文、“和文化”三者互动联合。</w:t>
      </w:r>
    </w:p>
    <w:p>
      <w:pPr>
        <w:adjustRightInd w:val="0"/>
        <w:snapToGrid w:val="0"/>
        <w:spacing w:line="500" w:lineRule="exact"/>
        <w:ind w:firstLine="468"/>
        <w:jc w:val="left"/>
        <w:rPr>
          <w:rFonts w:ascii="仿宋" w:hAnsi="仿宋" w:eastAsia="仿宋"/>
          <w:spacing w:val="-3"/>
        </w:rPr>
      </w:pPr>
      <w:r>
        <w:rPr>
          <w:rFonts w:ascii="仿宋" w:hAnsi="仿宋" w:eastAsia="仿宋"/>
          <w:spacing w:val="-3"/>
        </w:rPr>
        <w:t>一</w:t>
      </w:r>
      <w:r>
        <w:rPr>
          <w:rFonts w:hint="eastAsia" w:ascii="仿宋" w:hAnsi="仿宋" w:eastAsia="仿宋"/>
          <w:spacing w:val="-3"/>
        </w:rPr>
        <w:t>是</w:t>
      </w:r>
      <w:r>
        <w:rPr>
          <w:rFonts w:ascii="仿宋" w:hAnsi="仿宋" w:eastAsia="仿宋"/>
          <w:spacing w:val="-3"/>
        </w:rPr>
        <w:t>不断完善学校各项民主管理制度, 实现学校管理与运行的制度化、规范化、程序化, 依法保障各方的合法权益, 形成教育行政部门依法行政, 学校依法自主办学、依法接受监督的格局。</w:t>
      </w:r>
      <w:r>
        <w:rPr>
          <w:rFonts w:hint="eastAsia" w:ascii="仿宋" w:hAnsi="仿宋" w:eastAsia="仿宋"/>
          <w:spacing w:val="-3"/>
        </w:rPr>
        <w:t>二是</w:t>
      </w:r>
      <w:r>
        <w:rPr>
          <w:rFonts w:ascii="仿宋" w:hAnsi="仿宋" w:eastAsia="仿宋"/>
          <w:spacing w:val="-3"/>
        </w:rPr>
        <w:t>确立全心全意为教师教学科研和学生求学成才服务的思想,确保政策上激励到位, 条件上创造到位, 投入上资金到位, 思想上关心到位, 情感上关怀到位。</w:t>
      </w:r>
    </w:p>
    <w:p>
      <w:pPr>
        <w:pBdr>
          <w:bottom w:val="dashed" w:color="4092D6" w:sz="6" w:space="0"/>
        </w:pBdr>
        <w:adjustRightInd w:val="0"/>
        <w:snapToGrid w:val="0"/>
        <w:spacing w:line="500" w:lineRule="exact"/>
        <w:ind w:firstLine="587" w:firstLineChars="250"/>
        <w:jc w:val="left"/>
        <w:rPr>
          <w:rFonts w:ascii="仿宋" w:hAnsi="仿宋" w:eastAsia="仿宋"/>
          <w:b/>
          <w:spacing w:val="-3"/>
        </w:rPr>
      </w:pPr>
      <w:r>
        <w:rPr>
          <w:rFonts w:hint="eastAsia" w:ascii="仿宋" w:hAnsi="仿宋" w:eastAsia="仿宋"/>
          <w:b/>
          <w:spacing w:val="-3"/>
        </w:rPr>
        <w:t>4. “四”是构建“和正、和乐、和合、和兴”的“四和治校”模式，聚焦实现全员全过程全方位全面育人。</w:t>
      </w:r>
    </w:p>
    <w:p>
      <w:pPr>
        <w:pBdr>
          <w:bottom w:val="dashed" w:color="4092D6" w:sz="6" w:space="0"/>
        </w:pBdr>
        <w:adjustRightInd w:val="0"/>
        <w:snapToGrid w:val="0"/>
        <w:spacing w:line="500" w:lineRule="exact"/>
        <w:ind w:firstLine="587" w:firstLineChars="250"/>
        <w:jc w:val="left"/>
        <w:rPr>
          <w:rFonts w:ascii="仿宋" w:hAnsi="仿宋" w:eastAsia="仿宋"/>
          <w:spacing w:val="-3"/>
        </w:rPr>
      </w:pPr>
      <w:r>
        <w:rPr>
          <w:rFonts w:hint="eastAsia" w:ascii="仿宋" w:hAnsi="仿宋" w:eastAsia="仿宋"/>
          <w:b/>
          <w:spacing w:val="-3"/>
        </w:rPr>
        <w:t>治理规范化——“和正”之治。</w:t>
      </w:r>
      <w:r>
        <w:rPr>
          <w:rFonts w:hint="eastAsia" w:ascii="仿宋" w:hAnsi="仿宋" w:eastAsia="仿宋"/>
          <w:spacing w:val="-3"/>
        </w:rPr>
        <w:t>和正是依法治校追求的法治人文目标。无规矩不成方圆，治校，依法依规，循典循章，所以，规范学校的治理体系尤为重要。用“和”文化做引剂，切入人文关怀，要求课题组制订规范制度时，要坚持师生的主体地位，兼顾共性和个性；试行制度时，及时接受师生反馈，修订完善。</w:t>
      </w:r>
    </w:p>
    <w:p>
      <w:pPr>
        <w:pBdr>
          <w:bottom w:val="dashed" w:color="4092D6" w:sz="6" w:space="0"/>
        </w:pBdr>
        <w:adjustRightInd w:val="0"/>
        <w:snapToGrid w:val="0"/>
        <w:spacing w:line="500" w:lineRule="exact"/>
        <w:ind w:firstLine="587" w:firstLineChars="250"/>
        <w:jc w:val="left"/>
        <w:rPr>
          <w:rFonts w:ascii="仿宋" w:hAnsi="仿宋" w:eastAsia="仿宋"/>
          <w:spacing w:val="-3"/>
        </w:rPr>
      </w:pPr>
      <w:r>
        <w:rPr>
          <w:rFonts w:hint="eastAsia" w:ascii="仿宋" w:hAnsi="仿宋" w:eastAsia="仿宋"/>
          <w:b/>
          <w:spacing w:val="-3"/>
        </w:rPr>
        <w:t>治理民主化——“和乐”之治。</w:t>
      </w:r>
      <w:r>
        <w:rPr>
          <w:rFonts w:hint="eastAsia" w:ascii="仿宋" w:hAnsi="仿宋" w:eastAsia="仿宋"/>
          <w:spacing w:val="-3"/>
        </w:rPr>
        <w:t>“乐”者，喜欢、自愿。管理队伍自强乐管、教师队伍自信乐教、学生队伍自立乐学，是法治人文目标。新的治理体系，不拘一格降用人才，只看能力，不论资格。人才选拔机制、竞选机制、激励机制逐一完善，坚持透明公开，阳光监督。</w:t>
      </w:r>
    </w:p>
    <w:p>
      <w:pPr>
        <w:pBdr>
          <w:bottom w:val="dashed" w:color="4092D6" w:sz="6" w:space="0"/>
        </w:pBdr>
        <w:adjustRightInd w:val="0"/>
        <w:snapToGrid w:val="0"/>
        <w:spacing w:line="500" w:lineRule="exact"/>
        <w:ind w:firstLine="587" w:firstLineChars="250"/>
        <w:jc w:val="left"/>
        <w:rPr>
          <w:rFonts w:ascii="仿宋" w:hAnsi="仿宋" w:eastAsia="仿宋"/>
          <w:spacing w:val="-3"/>
        </w:rPr>
      </w:pPr>
      <w:r>
        <w:rPr>
          <w:rFonts w:hint="eastAsia" w:ascii="仿宋" w:hAnsi="仿宋" w:eastAsia="仿宋"/>
          <w:b/>
          <w:spacing w:val="-3"/>
        </w:rPr>
        <w:t>治理多元化——“和合”之治。</w:t>
      </w:r>
      <w:r>
        <w:rPr>
          <w:rFonts w:hint="eastAsia" w:ascii="仿宋" w:hAnsi="仿宋" w:eastAsia="仿宋"/>
          <w:spacing w:val="-3"/>
        </w:rPr>
        <w:t>和合是依法治校和人文关怀结合的桥梁。学校面向社会，结合实际创特色，多方共治，要把社会的优势资源引入学校，促使学校壮大发展。课题组拟订了“多方共治、内外协同”多元化治理目标，建立社会参与学校治理机制，推行校企合作，联合办校推动学校治理。如邀请律师进校园进行普法活动，聘用法治副校长为依法治校提供指导和规范，与市检查院共建“法治示范校”，家校合作成立“家长委员会”，与派出所、社区共建“联防机制”，联合政府、高校、行业、企业办学等，构建命运共同体，建设资源共享圈。</w:t>
      </w:r>
    </w:p>
    <w:p>
      <w:pPr>
        <w:pBdr>
          <w:bottom w:val="dashed" w:color="4092D6" w:sz="6" w:space="0"/>
        </w:pBdr>
        <w:adjustRightInd w:val="0"/>
        <w:snapToGrid w:val="0"/>
        <w:spacing w:line="500" w:lineRule="exact"/>
        <w:ind w:firstLine="587" w:firstLineChars="250"/>
        <w:jc w:val="left"/>
        <w:rPr>
          <w:rFonts w:ascii="仿宋" w:hAnsi="仿宋" w:eastAsia="仿宋"/>
          <w:spacing w:val="-3"/>
        </w:rPr>
      </w:pPr>
      <w:r>
        <w:rPr>
          <w:rFonts w:hint="eastAsia" w:ascii="仿宋" w:hAnsi="仿宋" w:eastAsia="仿宋"/>
          <w:b/>
          <w:spacing w:val="-3"/>
        </w:rPr>
        <w:t>治理长远化——“和兴”之治。</w:t>
      </w:r>
      <w:r>
        <w:rPr>
          <w:rFonts w:hint="eastAsia" w:ascii="仿宋" w:hAnsi="仿宋" w:eastAsia="仿宋"/>
          <w:spacing w:val="-3"/>
        </w:rPr>
        <w:t>和则兴，实现中华民族伟大复兴“中国梦”。和兴是依法治校和人文关怀的理想境界，实现的途径就是“实干”。实干兴邦，是我们党的优良传统，而实干兴校，也能让学校治理走得更深更远更开阔。学校营造法治人文的校园文化，通过德艺双馨实干育人。不断深化教书与育人，不断强化学校管理，并结合地方经济结构，为本地区的经济结构调整、技术进步和各类人员就业、再就业培训作出贡献。</w:t>
      </w:r>
    </w:p>
    <w:p>
      <w:pPr>
        <w:spacing w:line="500" w:lineRule="exact"/>
        <w:ind w:firstLine="470"/>
        <w:rPr>
          <w:rFonts w:ascii="仿宋" w:hAnsi="仿宋" w:eastAsia="仿宋"/>
          <w:spacing w:val="-3"/>
        </w:rPr>
      </w:pPr>
      <w:r>
        <w:rPr>
          <w:rFonts w:hint="eastAsia" w:ascii="仿宋" w:hAnsi="仿宋" w:eastAsia="仿宋"/>
          <w:b/>
          <w:spacing w:val="-3"/>
        </w:rPr>
        <w:t>5．“五”是德智体美劳全面育人发展。在“五育”文化理念指引下，治理实现</w:t>
      </w:r>
      <w:r>
        <w:rPr>
          <w:rFonts w:ascii="仿宋" w:hAnsi="仿宋" w:eastAsia="仿宋"/>
          <w:b/>
          <w:spacing w:val="-3"/>
        </w:rPr>
        <w:t>活动型向学习型转变。</w:t>
      </w:r>
      <w:r>
        <w:rPr>
          <w:rFonts w:ascii="仿宋" w:hAnsi="仿宋" w:eastAsia="仿宋"/>
          <w:spacing w:val="-3"/>
        </w:rPr>
        <w:t>开展理想信念和道德品行教育, 以活动促学习, 以学习促发展, 通过学习, 增长知识, 开阔眼界, 提高</w:t>
      </w:r>
      <w:r>
        <w:rPr>
          <w:rFonts w:hint="eastAsia" w:ascii="仿宋" w:hAnsi="仿宋" w:eastAsia="仿宋"/>
          <w:spacing w:val="-3"/>
        </w:rPr>
        <w:t>队伍</w:t>
      </w:r>
      <w:r>
        <w:rPr>
          <w:rFonts w:ascii="仿宋" w:hAnsi="仿宋" w:eastAsia="仿宋"/>
          <w:spacing w:val="-3"/>
        </w:rPr>
        <w:t>的业务水平, 增强全体</w:t>
      </w:r>
      <w:r>
        <w:rPr>
          <w:rFonts w:hint="eastAsia" w:ascii="仿宋" w:hAnsi="仿宋" w:eastAsia="仿宋"/>
          <w:spacing w:val="-3"/>
        </w:rPr>
        <w:t>师生</w:t>
      </w:r>
      <w:r>
        <w:rPr>
          <w:rFonts w:ascii="仿宋" w:hAnsi="仿宋" w:eastAsia="仿宋"/>
          <w:spacing w:val="-3"/>
        </w:rPr>
        <w:t>的使命感和责任感。着力打造了 “六个一”工程, 即组织一次工作理论研讨会议、立项一个课题、开展一项历史人物研究、撰写一部理论专著、出版一本画册、制作一张活动</w:t>
      </w:r>
      <w:r>
        <w:rPr>
          <w:rFonts w:hint="eastAsia" w:ascii="仿宋" w:hAnsi="仿宋" w:eastAsia="仿宋"/>
          <w:spacing w:val="-3"/>
        </w:rPr>
        <w:t>视频</w:t>
      </w:r>
      <w:r>
        <w:rPr>
          <w:rFonts w:ascii="仿宋" w:hAnsi="仿宋" w:eastAsia="仿宋"/>
          <w:spacing w:val="-3"/>
        </w:rPr>
        <w:t>, 以此达到促学习、强素质的目的</w:t>
      </w:r>
      <w:r>
        <w:rPr>
          <w:rFonts w:hint="eastAsia" w:ascii="仿宋" w:hAnsi="仿宋" w:eastAsia="仿宋"/>
          <w:spacing w:val="-3"/>
        </w:rPr>
        <w:t>；</w:t>
      </w:r>
      <w:r>
        <w:rPr>
          <w:rFonts w:ascii="仿宋" w:hAnsi="仿宋" w:eastAsia="仿宋"/>
          <w:b/>
          <w:spacing w:val="-3"/>
        </w:rPr>
        <w:t>福利型向人文关怀型转变。</w:t>
      </w:r>
      <w:r>
        <w:rPr>
          <w:rFonts w:ascii="仿宋" w:hAnsi="仿宋" w:eastAsia="仿宋"/>
          <w:spacing w:val="-3"/>
        </w:rPr>
        <w:t>调动广大</w:t>
      </w:r>
      <w:r>
        <w:rPr>
          <w:rFonts w:hint="eastAsia" w:ascii="仿宋" w:hAnsi="仿宋" w:eastAsia="仿宋"/>
          <w:spacing w:val="-3"/>
        </w:rPr>
        <w:t>师生</w:t>
      </w:r>
      <w:r>
        <w:rPr>
          <w:rFonts w:ascii="仿宋" w:hAnsi="仿宋" w:eastAsia="仿宋"/>
          <w:spacing w:val="-3"/>
        </w:rPr>
        <w:t>的积极性, 实现从外在的物质需求向内在的精神需求的根本性转变, 增强</w:t>
      </w:r>
      <w:r>
        <w:rPr>
          <w:rFonts w:hint="eastAsia" w:ascii="仿宋" w:hAnsi="仿宋" w:eastAsia="仿宋"/>
          <w:spacing w:val="-3"/>
        </w:rPr>
        <w:t>学校</w:t>
      </w:r>
      <w:r>
        <w:rPr>
          <w:rFonts w:ascii="仿宋" w:hAnsi="仿宋" w:eastAsia="仿宋"/>
          <w:spacing w:val="-3"/>
        </w:rPr>
        <w:t>的凝聚力。开展既有福利又有人文关怀的 “暖心工程”, 组织讲座、座谈会、未婚青年联谊活动, 加强对职工的人文关怀,帮其解难排忧, 使广大职工在人文关怀中受到感动、感染和感化</w:t>
      </w:r>
      <w:r>
        <w:rPr>
          <w:rFonts w:hint="eastAsia" w:ascii="仿宋" w:hAnsi="仿宋" w:eastAsia="仿宋"/>
          <w:spacing w:val="-3"/>
        </w:rPr>
        <w:t>；</w:t>
      </w:r>
      <w:r>
        <w:rPr>
          <w:rFonts w:ascii="仿宋" w:hAnsi="仿宋" w:eastAsia="仿宋"/>
          <w:b/>
          <w:spacing w:val="-3"/>
        </w:rPr>
        <w:t>边缘型向中心渗透型转变</w:t>
      </w:r>
      <w:r>
        <w:rPr>
          <w:rFonts w:hint="eastAsia" w:ascii="仿宋" w:hAnsi="仿宋" w:eastAsia="仿宋"/>
          <w:spacing w:val="-3"/>
        </w:rPr>
        <w:t>。</w:t>
      </w:r>
      <w:r>
        <w:rPr>
          <w:rFonts w:ascii="仿宋" w:hAnsi="仿宋" w:eastAsia="仿宋"/>
          <w:spacing w:val="-3"/>
        </w:rPr>
        <w:t>学校工作向中心工作渗透。开展</w:t>
      </w:r>
      <w:r>
        <w:rPr>
          <w:rFonts w:hint="eastAsia" w:ascii="仿宋" w:hAnsi="仿宋" w:eastAsia="仿宋"/>
          <w:spacing w:val="-3"/>
        </w:rPr>
        <w:t>“崇德修身 行为世范”主题教育实践系列活动、</w:t>
      </w:r>
      <w:r>
        <w:rPr>
          <w:rFonts w:ascii="仿宋" w:hAnsi="仿宋" w:eastAsia="仿宋"/>
          <w:spacing w:val="-3"/>
        </w:rPr>
        <w:t>“铸师魂, 立师德”演讲赛</w:t>
      </w:r>
      <w:r>
        <w:rPr>
          <w:rFonts w:hint="eastAsia" w:ascii="仿宋" w:hAnsi="仿宋" w:eastAsia="仿宋"/>
          <w:spacing w:val="-3"/>
        </w:rPr>
        <w:t>、</w:t>
      </w:r>
      <w:r>
        <w:rPr>
          <w:rFonts w:ascii="仿宋" w:hAnsi="仿宋" w:eastAsia="仿宋"/>
          <w:spacing w:val="-3"/>
        </w:rPr>
        <w:t>“一对一”拜师结对活动</w:t>
      </w:r>
      <w:r>
        <w:rPr>
          <w:rFonts w:hint="eastAsia" w:ascii="仿宋" w:hAnsi="仿宋" w:eastAsia="仿宋"/>
          <w:spacing w:val="-3"/>
        </w:rPr>
        <w:t>，</w:t>
      </w:r>
      <w:r>
        <w:rPr>
          <w:rFonts w:ascii="仿宋" w:hAnsi="仿宋" w:eastAsia="仿宋"/>
          <w:spacing w:val="-3"/>
        </w:rPr>
        <w:t>实现职工体面劳动、舒心工作、全面发展。</w:t>
      </w:r>
      <w:r>
        <w:rPr>
          <w:rFonts w:ascii="仿宋" w:hAnsi="仿宋" w:eastAsia="仿宋"/>
          <w:b/>
          <w:spacing w:val="-3"/>
        </w:rPr>
        <w:t>依附型向主动型转变。</w:t>
      </w:r>
      <w:r>
        <w:rPr>
          <w:rFonts w:ascii="仿宋" w:hAnsi="仿宋" w:eastAsia="仿宋"/>
          <w:spacing w:val="-3"/>
        </w:rPr>
        <w:t>独立开展工作的法律保障</w:t>
      </w:r>
      <w:r>
        <w:rPr>
          <w:rFonts w:hint="eastAsia" w:ascii="仿宋" w:hAnsi="仿宋" w:eastAsia="仿宋"/>
          <w:spacing w:val="-3"/>
        </w:rPr>
        <w:t>、</w:t>
      </w:r>
      <w:r>
        <w:rPr>
          <w:rFonts w:ascii="仿宋" w:hAnsi="仿宋" w:eastAsia="仿宋"/>
          <w:spacing w:val="-3"/>
        </w:rPr>
        <w:t xml:space="preserve"> 规范的教代会机制为学校</w:t>
      </w:r>
      <w:r>
        <w:rPr>
          <w:rFonts w:hint="eastAsia" w:ascii="仿宋" w:hAnsi="仿宋" w:eastAsia="仿宋"/>
          <w:spacing w:val="-3"/>
        </w:rPr>
        <w:t>的</w:t>
      </w:r>
      <w:r>
        <w:rPr>
          <w:rFonts w:ascii="仿宋" w:hAnsi="仿宋" w:eastAsia="仿宋"/>
          <w:spacing w:val="-3"/>
        </w:rPr>
        <w:t>民主管理、依法治校提供良好载体</w:t>
      </w:r>
      <w:r>
        <w:rPr>
          <w:rFonts w:hint="eastAsia" w:ascii="仿宋" w:hAnsi="仿宋" w:eastAsia="仿宋"/>
          <w:spacing w:val="-3"/>
        </w:rPr>
        <w:t>。</w:t>
      </w:r>
      <w:r>
        <w:rPr>
          <w:rFonts w:ascii="仿宋" w:hAnsi="仿宋" w:eastAsia="仿宋"/>
          <w:spacing w:val="-3"/>
        </w:rPr>
        <w:t>学校勇敢直面在改革发展中出现的各种矛盾和问题, 有组织地开展相关研究和探讨, 有力地推动民主管理的进程和依法治校的进程, 真正转变成为实质性的民主管理实体、教职员工维权实体、人文关怀实体、依法独立开展工作的实体。在全体</w:t>
      </w:r>
      <w:r>
        <w:rPr>
          <w:rFonts w:hint="eastAsia" w:ascii="仿宋" w:hAnsi="仿宋" w:eastAsia="仿宋"/>
          <w:spacing w:val="-3"/>
        </w:rPr>
        <w:t>项目</w:t>
      </w:r>
      <w:r>
        <w:rPr>
          <w:rFonts w:ascii="仿宋" w:hAnsi="仿宋" w:eastAsia="仿宋"/>
          <w:spacing w:val="-3"/>
        </w:rPr>
        <w:t>组成员的不懈努力下，在全校师生的全力配合下，</w:t>
      </w:r>
      <w:r>
        <w:rPr>
          <w:rFonts w:hint="eastAsia" w:ascii="仿宋" w:hAnsi="仿宋" w:eastAsia="仿宋"/>
          <w:spacing w:val="-3"/>
        </w:rPr>
        <w:t>以学校的文化建设体系为指引，以项目研究为载体，我校的《</w:t>
      </w:r>
      <w:r>
        <w:rPr>
          <w:rFonts w:ascii="仿宋" w:hAnsi="仿宋" w:eastAsia="仿宋"/>
          <w:spacing w:val="-3"/>
        </w:rPr>
        <w:t>依法治校与人文关怀相结合的</w:t>
      </w:r>
      <w:r>
        <w:rPr>
          <w:rFonts w:hint="eastAsia" w:ascii="仿宋" w:hAnsi="仿宋" w:eastAsia="仿宋"/>
          <w:spacing w:val="-3"/>
        </w:rPr>
        <w:t>实践研究》取得不凡成绩，获得省的“优秀”等级结项，</w:t>
      </w:r>
      <w:r>
        <w:rPr>
          <w:rFonts w:ascii="仿宋" w:hAnsi="仿宋" w:eastAsia="仿宋"/>
          <w:spacing w:val="-3"/>
        </w:rPr>
        <w:t>学校</w:t>
      </w:r>
      <w:r>
        <w:rPr>
          <w:rFonts w:hint="eastAsia" w:ascii="仿宋" w:hAnsi="仿宋" w:eastAsia="仿宋"/>
          <w:spacing w:val="-3"/>
        </w:rPr>
        <w:t>的</w:t>
      </w:r>
      <w:r>
        <w:rPr>
          <w:rFonts w:ascii="仿宋" w:hAnsi="仿宋" w:eastAsia="仿宋"/>
          <w:spacing w:val="-3"/>
        </w:rPr>
        <w:t>治理体系</w:t>
      </w:r>
      <w:r>
        <w:rPr>
          <w:rFonts w:hint="eastAsia" w:ascii="仿宋" w:hAnsi="仿宋" w:eastAsia="仿宋"/>
          <w:spacing w:val="-3"/>
        </w:rPr>
        <w:t>也基本构建成型，学校的校园文化建设也于此上升了一个新的台阶。二年多来，学校不断实践、总结、再实践，收获累累硕果。学校现初步形成“制度完善、程序规范、决策科学、管理民主、监督充分、保障有力、社会服务突出”的工作格局，尤其在师生权益保护与救济、民主管理与监督、学生党建、法制宣传与社会服务等方面取得了突出的工作成效。在美丽有序的校园环境下，师生高度认同学校的文化建设，精神面貌积极向上，学校也获得长足的发展，办学声誉日益提升，在揭阳市乃至整个粤东都具有较大的影响力， “读职校找捷和”已成社会的共识。学校先后被评为“广东省依法治校示范校”、“揭阳市科普教育基地”、 “揭阳市五四红旗团（总）支部”、“ 揭阳市优秀学生社团”、 “揭阳市</w:t>
      </w:r>
      <w:r>
        <w:rPr>
          <w:rFonts w:ascii="仿宋" w:hAnsi="仿宋" w:eastAsia="仿宋"/>
          <w:spacing w:val="-3"/>
        </w:rPr>
        <w:t>2017</w:t>
      </w:r>
      <w:r>
        <w:rPr>
          <w:rFonts w:hint="eastAsia" w:ascii="仿宋" w:hAnsi="仿宋" w:eastAsia="仿宋"/>
          <w:spacing w:val="-3"/>
        </w:rPr>
        <w:t>年度优秀电商培训机构”、 “</w:t>
      </w:r>
      <w:r>
        <w:rPr>
          <w:rFonts w:ascii="仿宋" w:hAnsi="仿宋" w:eastAsia="仿宋"/>
          <w:spacing w:val="-3"/>
        </w:rPr>
        <w:t>2017-2018</w:t>
      </w:r>
      <w:r>
        <w:rPr>
          <w:rFonts w:hint="eastAsia" w:ascii="仿宋" w:hAnsi="仿宋" w:eastAsia="仿宋"/>
          <w:spacing w:val="-3"/>
        </w:rPr>
        <w:t>年度榕城区优秀青年志愿者集体”等等。</w:t>
      </w:r>
    </w:p>
    <w:p>
      <w:pPr>
        <w:pBdr>
          <w:bottom w:val="dashed" w:color="4092D6" w:sz="6" w:space="0"/>
        </w:pBdr>
        <w:adjustRightInd w:val="0"/>
        <w:snapToGrid w:val="0"/>
        <w:spacing w:line="500" w:lineRule="exact"/>
        <w:ind w:firstLine="468"/>
        <w:jc w:val="left"/>
        <w:rPr>
          <w:rFonts w:ascii="仿宋" w:hAnsi="仿宋" w:eastAsia="仿宋"/>
          <w:spacing w:val="-3"/>
        </w:rPr>
      </w:pPr>
      <w:r>
        <w:rPr>
          <w:rFonts w:ascii="仿宋" w:hAnsi="仿宋" w:eastAsia="仿宋"/>
          <w:spacing w:val="-3"/>
        </w:rPr>
        <w:t>但</w:t>
      </w:r>
      <w:r>
        <w:rPr>
          <w:rFonts w:hint="eastAsia" w:ascii="仿宋" w:hAnsi="仿宋" w:eastAsia="仿宋"/>
          <w:spacing w:val="-3"/>
        </w:rPr>
        <w:t>我们清醒的意识到，</w:t>
      </w:r>
      <w:r>
        <w:rPr>
          <w:rFonts w:ascii="仿宋" w:hAnsi="仿宋" w:eastAsia="仿宋"/>
          <w:spacing w:val="-3"/>
        </w:rPr>
        <w:t>随着社会日新月异的发展，科学技术的不断更新，人文观念的更替，学校的治理</w:t>
      </w:r>
      <w:r>
        <w:rPr>
          <w:rFonts w:hint="eastAsia" w:ascii="仿宋" w:hAnsi="仿宋" w:eastAsia="仿宋"/>
          <w:spacing w:val="-3"/>
        </w:rPr>
        <w:t>体系</w:t>
      </w:r>
      <w:r>
        <w:rPr>
          <w:rFonts w:ascii="仿宋" w:hAnsi="仿宋" w:eastAsia="仿宋"/>
          <w:spacing w:val="-3"/>
        </w:rPr>
        <w:t>和</w:t>
      </w:r>
      <w:r>
        <w:rPr>
          <w:rFonts w:hint="eastAsia" w:ascii="仿宋" w:hAnsi="仿宋" w:eastAsia="仿宋"/>
          <w:spacing w:val="-3"/>
        </w:rPr>
        <w:t>文化</w:t>
      </w:r>
      <w:r>
        <w:rPr>
          <w:rFonts w:ascii="仿宋" w:hAnsi="仿宋" w:eastAsia="仿宋"/>
          <w:spacing w:val="-3"/>
        </w:rPr>
        <w:t>建设也在不断</w:t>
      </w:r>
      <w:r>
        <w:rPr>
          <w:rFonts w:hint="eastAsia" w:ascii="仿宋" w:hAnsi="仿宋" w:eastAsia="仿宋"/>
          <w:spacing w:val="-3"/>
        </w:rPr>
        <w:t>的</w:t>
      </w:r>
      <w:r>
        <w:rPr>
          <w:rFonts w:ascii="仿宋" w:hAnsi="仿宋" w:eastAsia="仿宋"/>
          <w:spacing w:val="-3"/>
        </w:rPr>
        <w:t>与时俱进</w:t>
      </w:r>
      <w:r>
        <w:rPr>
          <w:rFonts w:hint="eastAsia" w:ascii="仿宋" w:hAnsi="仿宋" w:eastAsia="仿宋"/>
          <w:spacing w:val="-3"/>
        </w:rPr>
        <w:t>。这是</w:t>
      </w:r>
      <w:r>
        <w:rPr>
          <w:rFonts w:ascii="仿宋" w:hAnsi="仿宋" w:eastAsia="仿宋"/>
          <w:spacing w:val="-3"/>
        </w:rPr>
        <w:t>一个系统工程，需要科学研究、整体规划、全员参与、分步实施，我们初步做到了，但还远远不够，特别是在</w:t>
      </w:r>
      <w:r>
        <w:rPr>
          <w:rFonts w:hint="eastAsia" w:ascii="仿宋" w:hAnsi="仿宋" w:eastAsia="仿宋"/>
          <w:spacing w:val="-3"/>
        </w:rPr>
        <w:t>学校的</w:t>
      </w:r>
      <w:r>
        <w:rPr>
          <w:rFonts w:ascii="仿宋" w:hAnsi="仿宋" w:eastAsia="仿宋"/>
          <w:spacing w:val="-3"/>
        </w:rPr>
        <w:t>精神文化方面的挖掘、梳理、提升还需要认真研讨，在体系方面的规划、完善、系统还需要不断改进，这也是我校在以后</w:t>
      </w:r>
      <w:r>
        <w:rPr>
          <w:rFonts w:hint="eastAsia" w:ascii="仿宋" w:hAnsi="仿宋" w:eastAsia="仿宋"/>
          <w:spacing w:val="-3"/>
        </w:rPr>
        <w:t>校园文化建设方面</w:t>
      </w:r>
      <w:r>
        <w:rPr>
          <w:rFonts w:ascii="仿宋" w:hAnsi="仿宋" w:eastAsia="仿宋"/>
          <w:spacing w:val="-3"/>
        </w:rPr>
        <w:t>需要努力的方向。</w:t>
      </w:r>
    </w:p>
    <w:p>
      <w:pPr>
        <w:pStyle w:val="2"/>
        <w:ind w:left="240" w:right="240"/>
      </w:pPr>
      <w:bookmarkStart w:id="252" w:name="_Toc29995211"/>
      <w:bookmarkStart w:id="253" w:name="_Toc505003863"/>
      <w:r>
        <w:rPr>
          <w:rFonts w:hint="eastAsia"/>
        </w:rPr>
        <w:t>8.在人才培养上存在的问题及改进的措施</w:t>
      </w:r>
      <w:bookmarkEnd w:id="252"/>
      <w:bookmarkEnd w:id="253"/>
    </w:p>
    <w:p>
      <w:pPr>
        <w:ind w:firstLine="480"/>
      </w:pPr>
      <w:r>
        <w:rPr>
          <w:rFonts w:hint="eastAsia"/>
        </w:rPr>
        <w:t>在全校师生的共同努力下，我校依法依规办学，坚持改革发展，呈现良好的发展态势。学校围绕人才质量培养目标，进一步创新校企共育人才培养模式，深化了教育教学改革，企业参与教学、参与课程标准、实训基地共建共管力度不断增大。学校涌现一批省、市、区级名师；专任教师中具有高级职称数得以提高，师资队伍的结构和质量得以改善和提升。</w:t>
      </w:r>
    </w:p>
    <w:p>
      <w:pPr>
        <w:pStyle w:val="3"/>
      </w:pPr>
      <w:bookmarkStart w:id="254" w:name="_Toc505003864"/>
      <w:bookmarkStart w:id="255" w:name="_Toc29995212"/>
      <w:r>
        <w:t>8.1</w:t>
      </w:r>
      <w:r>
        <w:rPr>
          <w:rFonts w:hint="eastAsia"/>
        </w:rPr>
        <w:t>存在问题</w:t>
      </w:r>
      <w:bookmarkEnd w:id="254"/>
      <w:bookmarkEnd w:id="255"/>
    </w:p>
    <w:p>
      <w:pPr>
        <w:ind w:firstLine="480"/>
      </w:pPr>
      <w:r>
        <w:rPr>
          <w:rFonts w:hint="eastAsia"/>
        </w:rPr>
        <w:t>学校教育教学改革虽然取得了显著成效，但仍面临着以下问题：</w:t>
      </w:r>
    </w:p>
    <w:p>
      <w:pPr>
        <w:pStyle w:val="4"/>
      </w:pPr>
      <w:bookmarkStart w:id="256" w:name="_Toc29995213"/>
      <w:bookmarkStart w:id="257" w:name="_Toc505003865"/>
      <w:r>
        <w:rPr>
          <w:rFonts w:hint="eastAsia"/>
        </w:rPr>
        <w:t>8.1.1专业内涵建设仍有待加强</w:t>
      </w:r>
      <w:bookmarkEnd w:id="256"/>
      <w:bookmarkEnd w:id="257"/>
    </w:p>
    <w:p>
      <w:pPr>
        <w:ind w:firstLine="480"/>
      </w:pPr>
      <w:r>
        <w:rPr>
          <w:rFonts w:hint="eastAsia"/>
        </w:rPr>
        <w:t>学校根据区域经济发展的需要，不断调整专业设置、优化专业结构，学校有省重专业</w:t>
      </w:r>
      <w:r>
        <w:t>3</w:t>
      </w:r>
      <w:r>
        <w:rPr>
          <w:rFonts w:hint="eastAsia"/>
        </w:rPr>
        <w:t>个，分别是电子与信息技术、计算机应用以及机电技术应用专业，另外学前教育、电子商务、中餐烹饪与营养膳食以及数控技术用应专业为学校重点发展专业。虽然拥有省重专业</w:t>
      </w:r>
      <w:r>
        <w:t>3</w:t>
      </w:r>
      <w:r>
        <w:rPr>
          <w:rFonts w:hint="eastAsia"/>
        </w:rPr>
        <w:t>个，但专业的内涵建设还比较薄弱，与地方产业升级和现代企业对学校的要求仍有一定差距。</w:t>
      </w:r>
    </w:p>
    <w:p>
      <w:pPr>
        <w:pStyle w:val="4"/>
        <w:ind w:firstLine="643"/>
        <w:rPr>
          <w:kern w:val="0"/>
        </w:rPr>
      </w:pPr>
      <w:bookmarkStart w:id="258" w:name="_Toc29995214"/>
      <w:bookmarkStart w:id="259" w:name="_Toc505003866"/>
      <w:bookmarkStart w:id="260" w:name="_Toc472001045"/>
      <w:r>
        <w:rPr>
          <w:rFonts w:hint="eastAsia"/>
          <w:kern w:val="0"/>
        </w:rPr>
        <w:t>8.1.1.1课程建设项目的总体水平有待进一步提升</w:t>
      </w:r>
      <w:bookmarkEnd w:id="258"/>
      <w:bookmarkEnd w:id="259"/>
      <w:bookmarkEnd w:id="260"/>
    </w:p>
    <w:p>
      <w:pPr>
        <w:ind w:firstLine="480"/>
      </w:pPr>
      <w:r>
        <w:rPr>
          <w:rFonts w:hint="eastAsia"/>
        </w:rPr>
        <w:t>学校的精品课程及编写出版职业教育国家规划教材很少。课程建设项目与省内外优质中职学校相比有一定的差距，总体水平有待进一步提高。</w:t>
      </w:r>
    </w:p>
    <w:p>
      <w:pPr>
        <w:pStyle w:val="4"/>
        <w:ind w:firstLine="643"/>
        <w:rPr>
          <w:kern w:val="0"/>
        </w:rPr>
      </w:pPr>
      <w:bookmarkStart w:id="261" w:name="_Toc472001046"/>
      <w:bookmarkStart w:id="262" w:name="_Toc505003867"/>
      <w:bookmarkStart w:id="263" w:name="_Toc29995215"/>
      <w:r>
        <w:rPr>
          <w:rFonts w:hint="eastAsia"/>
          <w:kern w:val="0"/>
        </w:rPr>
        <w:t>8.1.1.2师资队伍不能完全满足学校发展的需要</w:t>
      </w:r>
      <w:bookmarkEnd w:id="261"/>
      <w:bookmarkEnd w:id="262"/>
      <w:bookmarkEnd w:id="263"/>
    </w:p>
    <w:p>
      <w:pPr>
        <w:ind w:firstLine="480"/>
      </w:pPr>
      <w:r>
        <w:rPr>
          <w:rFonts w:hint="eastAsia"/>
        </w:rPr>
        <w:t>师资队伍仍面临着进一步优化结构、素质和能力提升的迫切要求。专业带头人、学科带头人和骨干教师培养力度还要加大，青年教师到企业实践的力度需要加强，尤其缺乏高水平的教学名师和教学团队。</w:t>
      </w:r>
    </w:p>
    <w:p>
      <w:pPr>
        <w:pStyle w:val="3"/>
      </w:pPr>
      <w:bookmarkStart w:id="264" w:name="_Toc29995216"/>
      <w:bookmarkStart w:id="265" w:name="_Toc505003868"/>
      <w:r>
        <w:rPr>
          <w:rFonts w:hint="eastAsia"/>
        </w:rPr>
        <w:t>8.2改进措施</w:t>
      </w:r>
      <w:bookmarkEnd w:id="264"/>
      <w:bookmarkEnd w:id="265"/>
    </w:p>
    <w:p>
      <w:pPr>
        <w:ind w:firstLine="480"/>
      </w:pPr>
      <w:r>
        <w:rPr>
          <w:rFonts w:hint="eastAsia"/>
        </w:rPr>
        <w:t>按照国家教育部以及省教厅相关文件的要求，学校以“以科学管理为途经，以改革为突破口，以教育教学工作为中心，以发展学生为本，以培养师生勇于担当责任为主线，以提高办学质量为重点，多形式多层次办学”为发展思路，以“学生群体高素质，教师队伍高水平，学校管理高效益，校园环境高品位”为办学目标贯穿于学校的各项工作。</w:t>
      </w:r>
    </w:p>
    <w:p>
      <w:pPr>
        <w:pStyle w:val="4"/>
      </w:pPr>
      <w:bookmarkStart w:id="266" w:name="_Toc29995217"/>
      <w:bookmarkStart w:id="267" w:name="_Toc505003869"/>
      <w:r>
        <w:rPr>
          <w:rFonts w:hint="eastAsia"/>
        </w:rPr>
        <w:t>8.2.1加强办学基础条件建设，为提高人才培养质量奠定基础</w:t>
      </w:r>
      <w:bookmarkEnd w:id="266"/>
      <w:bookmarkEnd w:id="267"/>
    </w:p>
    <w:p>
      <w:pPr>
        <w:ind w:firstLine="480"/>
      </w:pPr>
      <w:r>
        <w:rPr>
          <w:rFonts w:hint="eastAsia"/>
        </w:rPr>
        <w:t>继续争取上级主管部门支持，继续加大投入，通过改建、改造、美化和绿化，进一步优化校内设施设备和育人环境，加大力度落实学校精细化管理，使学校成为特色显著、职业教育特点突出、校园文化氛围浓郁的美丽校园。深化教育体制改革，培育智慧型教师，扩大教育交流合作，将学校建成创新型、开放型、有特色的高质量高水平现代化职业学校。</w:t>
      </w:r>
    </w:p>
    <w:p>
      <w:pPr>
        <w:pStyle w:val="4"/>
      </w:pPr>
      <w:bookmarkStart w:id="268" w:name="_Toc29995218"/>
      <w:bookmarkStart w:id="269" w:name="_Toc505003870"/>
      <w:r>
        <w:t>8.2.2</w:t>
      </w:r>
      <w:r>
        <w:rPr>
          <w:rFonts w:hint="eastAsia"/>
        </w:rPr>
        <w:t>优化师资队伍结构，提升师资水平</w:t>
      </w:r>
      <w:bookmarkEnd w:id="268"/>
      <w:bookmarkEnd w:id="269"/>
    </w:p>
    <w:p>
      <w:pPr>
        <w:ind w:firstLine="480"/>
      </w:pPr>
      <w:r>
        <w:rPr>
          <w:rFonts w:hint="eastAsia"/>
        </w:rPr>
        <w:t>继续实施人才强校战略，加强专业带头人、学科带头人培养、骨干教师培养和名师培养等强师工程；利用校企合作平台，形成企业能工巧匠和技术专家参与教学、学校专业教师下企业挂职锻炼并开展技术服务的良性运行机制，建立“双师型”专业教师培养机制；聘请企业技术专家、能工巧匠技术骨干进校，建立一支实力雄厚、相对稳定的企业兼职教师队伍；利用省市名师工程，校内名师工作室的培养机制，培养一批教学能力强、科研能力强的名师和教育教学团队。</w:t>
      </w:r>
    </w:p>
    <w:p>
      <w:pPr>
        <w:pStyle w:val="4"/>
      </w:pPr>
      <w:bookmarkStart w:id="270" w:name="_Toc505003871"/>
      <w:bookmarkStart w:id="271" w:name="_Toc29995219"/>
      <w:r>
        <w:t>8.2.3</w:t>
      </w:r>
      <w:r>
        <w:rPr>
          <w:rFonts w:hint="eastAsia"/>
        </w:rPr>
        <w:t>深化教学改革，创新人才培养模式</w:t>
      </w:r>
      <w:bookmarkEnd w:id="270"/>
      <w:bookmarkEnd w:id="271"/>
    </w:p>
    <w:p>
      <w:pPr>
        <w:ind w:firstLine="480"/>
        <w:rPr>
          <w:rFonts w:ascii="黑体" w:hAnsi="宋体" w:eastAsia="黑体"/>
        </w:rPr>
      </w:pPr>
      <w:r>
        <w:rPr>
          <w:rFonts w:hint="eastAsia"/>
        </w:rPr>
        <w:t>以市场为导向，进一步完善社会、行业、企业参与教学质量的监控保障体系，紧密结合企业的用人需求，继续深化校企合作、稳步推进现代学徒制改革的人才培养模式，参照职业岗位要求优化人才培养方案，引入行业的技术标准开发专业课程，努力培养适用区域经济社会发展需要的高素质技术技能型人才。</w:t>
      </w:r>
    </w:p>
    <w:p>
      <w:pPr>
        <w:ind w:firstLine="480"/>
      </w:pPr>
    </w:p>
    <w:sectPr>
      <w:pgSz w:w="11906" w:h="16838"/>
      <w:pgMar w:top="1440" w:right="1418" w:bottom="1440"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w:panose1 w:val="020F0502020204030204"/>
    <w:charset w:val="01"/>
    <w:family w:val="auto"/>
    <w:pitch w:val="default"/>
    <w:sig w:usb0="E00002FF" w:usb1="4000ACFF" w:usb2="00000001" w:usb3="00000000" w:csb0="2000019F" w:csb1="00000000"/>
  </w:font>
  <w:font w:name="方正小标宋简体">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swiss"/>
    <w:pitch w:val="default"/>
    <w:sig w:usb0="A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ind w:firstLine="360"/>
      <w:rPr>
        <w:rStyle w:val="17"/>
      </w:rPr>
    </w:pPr>
    <w:r>
      <w:fldChar w:fldCharType="begin"/>
    </w:r>
    <w:r>
      <w:rPr>
        <w:rStyle w:val="17"/>
      </w:rPr>
      <w:instrText xml:space="preserve">PAGE  </w:instrText>
    </w:r>
    <w:r>
      <w:fldChar w:fldCharType="separate"/>
    </w:r>
    <w:r>
      <w:rPr>
        <w:rStyle w:val="17"/>
      </w:rPr>
      <w:t>2</w:t>
    </w:r>
    <w:r>
      <w:fldChar w:fldCharType="end"/>
    </w:r>
  </w:p>
  <w:p>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ind w:firstLine="360"/>
      <w:rPr>
        <w:rStyle w:val="17"/>
      </w:rPr>
    </w:pPr>
    <w:r>
      <w:fldChar w:fldCharType="begin"/>
    </w:r>
    <w:r>
      <w:rPr>
        <w:rStyle w:val="17"/>
      </w:rPr>
      <w:instrText xml:space="preserve">PAGE  </w:instrText>
    </w:r>
    <w:r>
      <w:fldChar w:fldCharType="end"/>
    </w:r>
  </w:p>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ind w:firstLine="360"/>
      <w:rPr>
        <w:rStyle w:val="17"/>
      </w:rPr>
    </w:pPr>
    <w:r>
      <w:fldChar w:fldCharType="begin"/>
    </w:r>
    <w:r>
      <w:rPr>
        <w:rStyle w:val="17"/>
      </w:rPr>
      <w:instrText xml:space="preserve">PAGE  </w:instrText>
    </w:r>
    <w:r>
      <w:fldChar w:fldCharType="separate"/>
    </w:r>
    <w:r>
      <w:rPr>
        <w:rStyle w:val="17"/>
      </w:rPr>
      <w:t>65</w:t>
    </w:r>
    <w:r>
      <w:fldChar w:fldCharType="end"/>
    </w:r>
  </w:p>
  <w:p>
    <w:pPr>
      <w:pStyle w:val="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ind w:firstLine="360"/>
      <w:rPr>
        <w:rStyle w:val="17"/>
      </w:rPr>
    </w:pPr>
    <w:r>
      <w:fldChar w:fldCharType="begin"/>
    </w:r>
    <w:r>
      <w:rPr>
        <w:rStyle w:val="17"/>
      </w:rPr>
      <w:instrText xml:space="preserve">PAGE  </w:instrText>
    </w:r>
    <w:r>
      <w:fldChar w:fldCharType="end"/>
    </w:r>
  </w:p>
  <w:p>
    <w:pPr>
      <w:pStyle w:val="7"/>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97460D"/>
    <w:rsid w:val="000324DB"/>
    <w:rsid w:val="000A1B5A"/>
    <w:rsid w:val="001075F0"/>
    <w:rsid w:val="00127C61"/>
    <w:rsid w:val="0024156E"/>
    <w:rsid w:val="002C534E"/>
    <w:rsid w:val="002D0288"/>
    <w:rsid w:val="002E2E78"/>
    <w:rsid w:val="00376FE7"/>
    <w:rsid w:val="003B0396"/>
    <w:rsid w:val="00400FBF"/>
    <w:rsid w:val="00404E7C"/>
    <w:rsid w:val="00413507"/>
    <w:rsid w:val="004C164E"/>
    <w:rsid w:val="00522136"/>
    <w:rsid w:val="00545641"/>
    <w:rsid w:val="00553783"/>
    <w:rsid w:val="005A184B"/>
    <w:rsid w:val="006029A7"/>
    <w:rsid w:val="006668AD"/>
    <w:rsid w:val="006B369A"/>
    <w:rsid w:val="00714050"/>
    <w:rsid w:val="00725706"/>
    <w:rsid w:val="00763DD3"/>
    <w:rsid w:val="0085632F"/>
    <w:rsid w:val="00863835"/>
    <w:rsid w:val="00897654"/>
    <w:rsid w:val="0099038B"/>
    <w:rsid w:val="00A93989"/>
    <w:rsid w:val="00AE5697"/>
    <w:rsid w:val="00B05222"/>
    <w:rsid w:val="00BC6BE9"/>
    <w:rsid w:val="00BD5807"/>
    <w:rsid w:val="00C43D83"/>
    <w:rsid w:val="00F921E8"/>
    <w:rsid w:val="00FB0F82"/>
    <w:rsid w:val="00FC4033"/>
    <w:rsid w:val="0E97460D"/>
    <w:rsid w:val="4D984698"/>
    <w:rsid w:val="5EC74C0B"/>
    <w:rsid w:val="690B7A30"/>
    <w:rsid w:val="694677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keepLines/>
      <w:spacing w:before="120" w:after="120"/>
      <w:ind w:left="100" w:leftChars="100" w:right="100" w:rightChars="100" w:firstLine="0" w:firstLineChars="0"/>
      <w:jc w:val="left"/>
      <w:outlineLvl w:val="0"/>
    </w:pPr>
    <w:rPr>
      <w:b/>
      <w:bCs/>
      <w:kern w:val="44"/>
      <w:sz w:val="44"/>
      <w:szCs w:val="44"/>
    </w:rPr>
  </w:style>
  <w:style w:type="paragraph" w:styleId="3">
    <w:name w:val="heading 2"/>
    <w:basedOn w:val="1"/>
    <w:next w:val="1"/>
    <w:qFormat/>
    <w:uiPriority w:val="0"/>
    <w:pPr>
      <w:keepNext/>
      <w:keepLines/>
      <w:spacing w:before="260" w:after="260"/>
      <w:ind w:firstLine="0" w:firstLineChars="0"/>
      <w:jc w:val="left"/>
      <w:outlineLvl w:val="1"/>
    </w:pPr>
    <w:rPr>
      <w:rFonts w:ascii="Arial" w:hAnsi="Arial" w:eastAsia="黑体"/>
      <w:b/>
      <w:bCs/>
      <w:sz w:val="32"/>
      <w:szCs w:val="32"/>
    </w:rPr>
  </w:style>
  <w:style w:type="paragraph" w:styleId="4">
    <w:name w:val="heading 3"/>
    <w:basedOn w:val="1"/>
    <w:next w:val="1"/>
    <w:qFormat/>
    <w:uiPriority w:val="0"/>
    <w:pPr>
      <w:keepNext/>
      <w:keepLines/>
      <w:snapToGrid w:val="0"/>
      <w:spacing w:before="260" w:after="260" w:line="240" w:lineRule="auto"/>
      <w:ind w:firstLine="0" w:firstLineChars="0"/>
      <w:contextualSpacing/>
      <w:outlineLvl w:val="2"/>
    </w:pPr>
    <w:rPr>
      <w:rFonts w:eastAsia="黑体"/>
      <w:b/>
      <w:bCs/>
      <w:sz w:val="28"/>
      <w:szCs w:val="32"/>
    </w:rPr>
  </w:style>
  <w:style w:type="character" w:default="1" w:styleId="16">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iPriority w:val="39"/>
    <w:pPr>
      <w:ind w:left="840" w:leftChars="400"/>
    </w:pPr>
  </w:style>
  <w:style w:type="paragraph" w:styleId="6">
    <w:name w:val="Balloon Text"/>
    <w:basedOn w:val="1"/>
    <w:link w:val="23"/>
    <w:uiPriority w:val="0"/>
    <w:pPr>
      <w:spacing w:line="240" w:lineRule="auto"/>
    </w:pPr>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uiPriority w:val="39"/>
  </w:style>
  <w:style w:type="paragraph" w:styleId="10">
    <w:name w:val="Subtitle"/>
    <w:basedOn w:val="1"/>
    <w:next w:val="1"/>
    <w:link w:val="20"/>
    <w:qFormat/>
    <w:uiPriority w:val="0"/>
    <w:pPr>
      <w:spacing w:before="240" w:after="60" w:line="240" w:lineRule="auto"/>
      <w:ind w:firstLine="0" w:firstLineChars="0"/>
      <w:contextualSpacing/>
      <w:jc w:val="left"/>
      <w:outlineLvl w:val="1"/>
    </w:pPr>
    <w:rPr>
      <w:rFonts w:ascii="Cambria" w:hAnsi="Cambria" w:eastAsia="黑体"/>
      <w:b/>
      <w:bCs/>
      <w:kern w:val="28"/>
      <w:szCs w:val="32"/>
    </w:rPr>
  </w:style>
  <w:style w:type="paragraph" w:styleId="11">
    <w:name w:val="footnote text"/>
    <w:basedOn w:val="1"/>
    <w:link w:val="28"/>
    <w:uiPriority w:val="0"/>
    <w:pPr>
      <w:snapToGrid w:val="0"/>
      <w:jc w:val="left"/>
    </w:pPr>
    <w:rPr>
      <w:sz w:val="18"/>
      <w:szCs w:val="18"/>
    </w:rPr>
  </w:style>
  <w:style w:type="paragraph" w:styleId="12">
    <w:name w:val="toc 2"/>
    <w:basedOn w:val="1"/>
    <w:next w:val="1"/>
    <w:uiPriority w:val="39"/>
    <w:pPr>
      <w:ind w:left="420" w:leftChars="200"/>
    </w:pPr>
  </w:style>
  <w:style w:type="paragraph" w:styleId="13">
    <w:name w:val="Normal (Web)"/>
    <w:basedOn w:val="1"/>
    <w:qFormat/>
    <w:uiPriority w:val="0"/>
    <w:pPr>
      <w:widowControl/>
      <w:spacing w:before="100" w:beforeAutospacing="1" w:after="100" w:afterAutospacing="1"/>
      <w:jc w:val="left"/>
    </w:pPr>
    <w:rPr>
      <w:rFonts w:ascii="宋体" w:hAnsi="宋体"/>
      <w:kern w:val="0"/>
    </w:rPr>
  </w:style>
  <w:style w:type="table" w:styleId="15">
    <w:name w:val="Table Grid"/>
    <w:basedOn w:val="1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0"/>
  </w:style>
  <w:style w:type="character" w:styleId="18">
    <w:name w:val="Hyperlink"/>
    <w:basedOn w:val="16"/>
    <w:unhideWhenUsed/>
    <w:uiPriority w:val="99"/>
    <w:rPr>
      <w:color w:val="0563C1" w:themeColor="hyperlink"/>
      <w:u w:val="single"/>
      <w14:textFill>
        <w14:solidFill>
          <w14:schemeClr w14:val="hlink"/>
        </w14:solidFill>
      </w14:textFill>
    </w:rPr>
  </w:style>
  <w:style w:type="character" w:styleId="19">
    <w:name w:val="footnote reference"/>
    <w:basedOn w:val="16"/>
    <w:uiPriority w:val="0"/>
    <w:rPr>
      <w:vertAlign w:val="superscript"/>
    </w:rPr>
  </w:style>
  <w:style w:type="character" w:customStyle="1" w:styleId="20">
    <w:name w:val="副标题 Char"/>
    <w:basedOn w:val="16"/>
    <w:link w:val="10"/>
    <w:uiPriority w:val="0"/>
    <w:rPr>
      <w:rFonts w:ascii="Cambria" w:hAnsi="Cambria" w:eastAsia="黑体" w:cs="Times New Roman"/>
      <w:b/>
      <w:bCs/>
      <w:kern w:val="28"/>
      <w:szCs w:val="32"/>
    </w:rPr>
  </w:style>
  <w:style w:type="paragraph" w:customStyle="1" w:styleId="21">
    <w:name w:val="彩色底纹 - 强调文字颜色 31"/>
    <w:basedOn w:val="1"/>
    <w:uiPriority w:val="0"/>
    <w:pPr>
      <w:ind w:left="720"/>
      <w:contextualSpacing/>
    </w:pPr>
    <w:rPr>
      <w:rFonts w:ascii="Calibri" w:hAnsi="Calibri"/>
    </w:rPr>
  </w:style>
  <w:style w:type="paragraph" w:customStyle="1" w:styleId="22">
    <w:name w:val="表格内容"/>
    <w:qFormat/>
    <w:uiPriority w:val="0"/>
    <w:pPr>
      <w:jc w:val="center"/>
    </w:pPr>
    <w:rPr>
      <w:rFonts w:ascii="宋体" w:hAnsi="宋体" w:eastAsia="宋体" w:cs="Times New Roman"/>
      <w:kern w:val="2"/>
      <w:sz w:val="24"/>
      <w:szCs w:val="24"/>
      <w:lang w:val="en-US" w:eastAsia="zh-CN" w:bidi="ar-SA"/>
    </w:rPr>
  </w:style>
  <w:style w:type="character" w:customStyle="1" w:styleId="23">
    <w:name w:val="批注框文本 Char"/>
    <w:basedOn w:val="16"/>
    <w:link w:val="6"/>
    <w:uiPriority w:val="0"/>
    <w:rPr>
      <w:kern w:val="2"/>
      <w:sz w:val="18"/>
      <w:szCs w:val="18"/>
    </w:rPr>
  </w:style>
  <w:style w:type="paragraph" w:styleId="24">
    <w:name w:val="List Paragraph"/>
    <w:basedOn w:val="1"/>
    <w:qFormat/>
    <w:uiPriority w:val="34"/>
    <w:pPr>
      <w:spacing w:line="240" w:lineRule="auto"/>
      <w:ind w:firstLine="420"/>
    </w:pPr>
    <w:rPr>
      <w:rFonts w:ascii="Calibri" w:hAnsi="Calibri" w:cs="宋体"/>
      <w:sz w:val="21"/>
      <w:szCs w:val="22"/>
    </w:rPr>
  </w:style>
  <w:style w:type="paragraph" w:styleId="25">
    <w:name w:val="No Spacing"/>
    <w:link w:val="26"/>
    <w:qFormat/>
    <w:uiPriority w:val="1"/>
    <w:rPr>
      <w:rFonts w:asciiTheme="minorHAnsi" w:hAnsiTheme="minorHAnsi" w:eastAsiaTheme="minorEastAsia" w:cstheme="minorBidi"/>
      <w:sz w:val="22"/>
      <w:szCs w:val="22"/>
      <w:lang w:val="en-US" w:eastAsia="zh-CN" w:bidi="ar-SA"/>
    </w:rPr>
  </w:style>
  <w:style w:type="character" w:customStyle="1" w:styleId="26">
    <w:name w:val="无间隔 Char"/>
    <w:basedOn w:val="16"/>
    <w:link w:val="25"/>
    <w:uiPriority w:val="1"/>
    <w:rPr>
      <w:rFonts w:asciiTheme="minorHAnsi" w:hAnsiTheme="minorHAnsi" w:eastAsiaTheme="minorEastAsia" w:cstheme="minorBidi"/>
      <w:sz w:val="22"/>
      <w:szCs w:val="22"/>
    </w:rPr>
  </w:style>
  <w:style w:type="paragraph" w:customStyle="1" w:styleId="27">
    <w:name w:val="TOC Heading"/>
    <w:basedOn w:val="2"/>
    <w:next w:val="1"/>
    <w:semiHidden/>
    <w:unhideWhenUsed/>
    <w:qFormat/>
    <w:uiPriority w:val="39"/>
    <w:pPr>
      <w:widowControl/>
      <w:spacing w:before="480" w:after="0" w:line="276" w:lineRule="auto"/>
      <w:ind w:left="0" w:leftChars="0" w:right="0" w:rightChars="0"/>
      <w:outlineLvl w:val="9"/>
    </w:pPr>
    <w:rPr>
      <w:rFonts w:asciiTheme="majorHAnsi" w:hAnsiTheme="majorHAnsi" w:eastAsiaTheme="majorEastAsia" w:cstheme="majorBidi"/>
      <w:color w:val="2E75B6" w:themeColor="accent1" w:themeShade="BF"/>
      <w:kern w:val="0"/>
      <w:sz w:val="28"/>
      <w:szCs w:val="28"/>
    </w:rPr>
  </w:style>
  <w:style w:type="character" w:customStyle="1" w:styleId="28">
    <w:name w:val="脚注文本 Char"/>
    <w:basedOn w:val="16"/>
    <w:link w:val="11"/>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3" Type="http://schemas.openxmlformats.org/officeDocument/2006/relationships/fontTable" Target="fontTable.xml"/><Relationship Id="rId52" Type="http://schemas.openxmlformats.org/officeDocument/2006/relationships/customXml" Target="../customXml/item3.xml"/><Relationship Id="rId51" Type="http://schemas.openxmlformats.org/officeDocument/2006/relationships/customXml" Target="../customXml/item2.xml"/><Relationship Id="rId50" Type="http://schemas.openxmlformats.org/officeDocument/2006/relationships/customXml" Target="../customXml/item1.xml"/><Relationship Id="rId5" Type="http://schemas.openxmlformats.org/officeDocument/2006/relationships/header" Target="header3.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chart" Target="charts/chart8.xml"/><Relationship Id="rId43" Type="http://schemas.openxmlformats.org/officeDocument/2006/relationships/chart" Target="charts/chart7.xml"/><Relationship Id="rId42" Type="http://schemas.openxmlformats.org/officeDocument/2006/relationships/chart" Target="charts/chart6.xml"/><Relationship Id="rId41" Type="http://schemas.openxmlformats.org/officeDocument/2006/relationships/chart" Target="charts/chart5.xml"/><Relationship Id="rId40" Type="http://schemas.openxmlformats.org/officeDocument/2006/relationships/image" Target="media/image21.jpeg"/><Relationship Id="rId4" Type="http://schemas.openxmlformats.org/officeDocument/2006/relationships/header" Target="header2.xml"/><Relationship Id="rId39" Type="http://schemas.openxmlformats.org/officeDocument/2006/relationships/image" Target="media/image20.jpeg"/><Relationship Id="rId38" Type="http://schemas.openxmlformats.org/officeDocument/2006/relationships/image" Target="media/image19.jpeg"/><Relationship Id="rId37" Type="http://schemas.openxmlformats.org/officeDocument/2006/relationships/image" Target="media/image18.jpeg"/><Relationship Id="rId36" Type="http://schemas.openxmlformats.org/officeDocument/2006/relationships/image" Target="media/image17.jpeg"/><Relationship Id="rId35" Type="http://schemas.openxmlformats.org/officeDocument/2006/relationships/chart" Target="charts/chart4.xml"/><Relationship Id="rId34" Type="http://schemas.openxmlformats.org/officeDocument/2006/relationships/chart" Target="charts/chart3.xml"/><Relationship Id="rId33" Type="http://schemas.openxmlformats.org/officeDocument/2006/relationships/chart" Target="charts/chart2.xml"/><Relationship Id="rId32" Type="http://schemas.openxmlformats.org/officeDocument/2006/relationships/chart" Target="charts/chart1.xml"/><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header" Target="header1.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36136;&#37327;&#24180;&#24230;&#25253;&#21578;\&#21512;&#24182;&#23545;&#27604;.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36136;&#37327;&#24180;&#24230;&#25253;&#21578;\&#21512;&#24182;&#23545;&#27604;.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36136;&#37327;&#24180;&#24230;&#25253;&#21578;\&#21512;&#24182;&#23545;&#2760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36136;&#37327;&#24180;&#24230;&#25253;&#21578;\2018&#8212;2019&#23398;&#24180;&#24230;&#24191;&#19996;&#30465;-&#25581;&#38451;&#24066;-&#27029;&#22478;&#21306;_&#25581;&#38451;&#25463;&#21644;&#32844;&#19994;&#25216;&#26415;&#23398;&#26657;_3644000602.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36136;&#37327;&#24180;&#24230;&#25253;&#21578;\&#21512;&#24182;&#23545;&#27604;.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Desktop\&#35786;&#25913;&#22270;&#349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36136;&#37327;&#24180;&#24230;&#25253;&#21578;\&#21512;&#24182;&#23545;&#27604;.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36136;&#37327;&#24180;&#24230;&#25253;&#21578;\&#21512;&#24182;&#23545;&#2760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en-US" altLang="zh-CN" sz="1500" b="1" i="0" u="none" strike="noStrike" baseline="0">
                <a:solidFill>
                  <a:srgbClr val="000000"/>
                </a:solidFill>
                <a:latin typeface="Calibri" panose="020F0502020204030204"/>
                <a:cs typeface="Calibri" panose="020F0502020204030204"/>
              </a:rPr>
              <a:t>2017-2018</a:t>
            </a:r>
            <a:r>
              <a:rPr lang="zh-CN" altLang="en-US" sz="1500" b="1" i="0" u="none" strike="noStrike" baseline="0">
                <a:solidFill>
                  <a:srgbClr val="000000"/>
                </a:solidFill>
                <a:latin typeface="宋体" panose="02010600030101010101" charset="-122"/>
                <a:ea typeface="宋体" panose="02010600030101010101" charset="-122"/>
              </a:rPr>
              <a:t>与</a:t>
            </a:r>
            <a:r>
              <a:rPr lang="en-US" altLang="zh-CN" sz="1500" b="1" i="0" u="none" strike="noStrike" baseline="0">
                <a:solidFill>
                  <a:srgbClr val="000000"/>
                </a:solidFill>
                <a:latin typeface="Calibri" panose="020F0502020204030204"/>
                <a:cs typeface="Calibri" panose="020F0502020204030204"/>
              </a:rPr>
              <a:t>2018-2019</a:t>
            </a:r>
            <a:r>
              <a:rPr lang="zh-CN" altLang="en-US" sz="1500" b="1" i="0" u="none" strike="noStrike" baseline="0">
                <a:solidFill>
                  <a:srgbClr val="000000"/>
                </a:solidFill>
                <a:latin typeface="宋体" panose="02010600030101010101" charset="-122"/>
                <a:ea typeface="宋体" panose="02010600030101010101" charset="-122"/>
              </a:rPr>
              <a:t>学年度奖助学情况一览</a:t>
            </a:r>
            <a:endParaRPr lang="zh-CN" altLang="en-US" sz="1500" baseline="0"/>
          </a:p>
        </c:rich>
      </c:tx>
      <c:layout/>
      <c:overlay val="0"/>
    </c:title>
    <c:autoTitleDeleted val="0"/>
    <c:plotArea>
      <c:layout/>
      <c:barChart>
        <c:barDir val="col"/>
        <c:grouping val="clustered"/>
        <c:varyColors val="0"/>
        <c:ser>
          <c:idx val="0"/>
          <c:order val="0"/>
          <c:tx>
            <c:strRef>
              <c:f>'8.9奖助学情况'!$B$12</c:f>
              <c:strCache>
                <c:ptCount val="1"/>
                <c:pt idx="0">
                  <c:v>减免学费</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'8.9奖助学情况'!$C$11:$F$11</c:f>
              <c:strCache>
                <c:ptCount val="4"/>
                <c:pt idx="0">
                  <c:v>2017-2018奖助人数</c:v>
                </c:pt>
                <c:pt idx="1">
                  <c:v>2018-2019奖助人数</c:v>
                </c:pt>
                <c:pt idx="2">
                  <c:v>2017-2018奖助金额（万元）</c:v>
                </c:pt>
                <c:pt idx="3">
                  <c:v>2018-2019奖助金额（万元）</c:v>
                </c:pt>
              </c:strCache>
            </c:strRef>
          </c:cat>
          <c:val>
            <c:numRef>
              <c:f>'8.9奖助学情况'!$C$12:$F$12</c:f>
              <c:numCache>
                <c:formatCode>General</c:formatCode>
                <c:ptCount val="4"/>
                <c:pt idx="0">
                  <c:v>2926</c:v>
                </c:pt>
                <c:pt idx="1">
                  <c:v>2958</c:v>
                </c:pt>
                <c:pt idx="2">
                  <c:v>1024.1</c:v>
                </c:pt>
                <c:pt idx="3">
                  <c:v>1133.72</c:v>
                </c:pt>
              </c:numCache>
            </c:numRef>
          </c:val>
        </c:ser>
        <c:ser>
          <c:idx val="1"/>
          <c:order val="1"/>
          <c:tx>
            <c:strRef>
              <c:f>'8.9奖助学情况'!$B$13</c:f>
              <c:strCache>
                <c:ptCount val="1"/>
                <c:pt idx="0">
                  <c:v>助学金</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'8.9奖助学情况'!$C$11:$F$11</c:f>
              <c:strCache>
                <c:ptCount val="4"/>
                <c:pt idx="0">
                  <c:v>2017-2018奖助人数</c:v>
                </c:pt>
                <c:pt idx="1">
                  <c:v>2018-2019奖助人数</c:v>
                </c:pt>
                <c:pt idx="2">
                  <c:v>2017-2018奖助金额（万元）</c:v>
                </c:pt>
                <c:pt idx="3">
                  <c:v>2018-2019奖助金额（万元）</c:v>
                </c:pt>
              </c:strCache>
            </c:strRef>
          </c:cat>
          <c:val>
            <c:numRef>
              <c:f>'8.9奖助学情况'!$C$13:$F$13</c:f>
              <c:numCache>
                <c:formatCode>General</c:formatCode>
                <c:ptCount val="4"/>
                <c:pt idx="0">
                  <c:v>251</c:v>
                </c:pt>
                <c:pt idx="1">
                  <c:v>221</c:v>
                </c:pt>
                <c:pt idx="2">
                  <c:v>50.2</c:v>
                </c:pt>
                <c:pt idx="3">
                  <c:v>45.3</c:v>
                </c:pt>
              </c:numCache>
            </c:numRef>
          </c:val>
        </c:ser>
        <c:dLbls>
          <c:showLegendKey val="0"/>
          <c:showVal val="0"/>
          <c:showCatName val="0"/>
          <c:showSerName val="0"/>
          <c:showPercent val="0"/>
          <c:showBubbleSize val="0"/>
        </c:dLbls>
        <c:gapWidth val="150"/>
        <c:axId val="248736000"/>
        <c:axId val="248766464"/>
      </c:barChart>
      <c:catAx>
        <c:axId val="248736000"/>
        <c:scaling>
          <c:orientation val="minMax"/>
        </c:scaling>
        <c:delete val="0"/>
        <c:axPos val="b"/>
        <c:numFmt formatCode="@" sourceLinked="1"/>
        <c:majorTickMark val="none"/>
        <c:minorTickMark val="none"/>
        <c:tickLblPos val="nextTo"/>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248766464"/>
        <c:crosses val="autoZero"/>
        <c:auto val="1"/>
        <c:lblAlgn val="ctr"/>
        <c:lblOffset val="100"/>
        <c:noMultiLvlLbl val="0"/>
      </c:catAx>
      <c:valAx>
        <c:axId val="248766464"/>
        <c:scaling>
          <c:orientation val="minMax"/>
        </c:scaling>
        <c:delete val="0"/>
        <c:axPos val="l"/>
        <c:majorGridlines/>
        <c:numFmt formatCode="General" sourceLinked="1"/>
        <c:majorTickMark val="none"/>
        <c:minorTickMark val="none"/>
        <c:tickLblPos val="nextTo"/>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248736000"/>
        <c:crosses val="autoZero"/>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Table>
    </c:plotArea>
    <c:plotVisOnly val="1"/>
    <c:dispBlanksAs val="gap"/>
    <c:showDLblsOverMax val="0"/>
  </c:chart>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en-US" altLang="zh-CN" sz="1800" b="1" i="0" u="none" strike="noStrike" baseline="0">
                <a:solidFill>
                  <a:srgbClr val="000000"/>
                </a:solidFill>
                <a:latin typeface="Calibri" panose="020F0502020204030204"/>
                <a:cs typeface="Calibri" panose="020F0502020204030204"/>
              </a:rPr>
              <a:t>2018-2019</a:t>
            </a:r>
            <a:r>
              <a:rPr lang="zh-CN" altLang="en-US" sz="1800" b="1" i="0" u="none" strike="noStrike" baseline="0">
                <a:solidFill>
                  <a:srgbClr val="000000"/>
                </a:solidFill>
                <a:latin typeface="宋体" panose="02010600030101010101" charset="-122"/>
                <a:ea typeface="宋体" panose="02010600030101010101" charset="-122"/>
              </a:rPr>
              <a:t>学年度上届毕业生就业情况一览</a:t>
            </a:r>
            <a:endParaRPr lang="zh-CN" altLang="en-US"/>
          </a:p>
        </c:rich>
      </c:tx>
      <c:layout/>
      <c:overlay val="0"/>
    </c:title>
    <c:autoTitleDeleted val="0"/>
    <c:plotArea>
      <c:layout/>
      <c:barChart>
        <c:barDir val="col"/>
        <c:grouping val="clustered"/>
        <c:varyColors val="0"/>
        <c:ser>
          <c:idx val="0"/>
          <c:order val="0"/>
          <c:tx>
            <c:strRef>
              <c:f>'7.6.3上届毕业生就业情况'!$J$31</c:f>
              <c:strCache>
                <c:ptCount val="1"/>
                <c:pt idx="0">
                  <c:v>毕业生数（人）</c:v>
                </c:pt>
              </c:strCache>
            </c:strRef>
          </c:tx>
          <c:invertIfNegative val="0"/>
          <c:dLbls>
            <c:dLbl>
              <c:idx val="0"/>
              <c:layout>
                <c:manualLayout>
                  <c:x val="0"/>
                  <c:y val="-0.0250896057347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228898426323319"/>
                  <c:y val="-0.02867383512544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11444921316166"/>
                  <c:y val="0.0071684587813620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8.3928453436561e-17"/>
                  <c:y val="-0.0215053763440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137339055793991"/>
                  <c:y val="0.0215053763440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0066CC"/>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'7.6.3上届毕业生就业情况'!$I$32:$I$41</c:f>
              <c:strCache>
                <c:ptCount val="10"/>
                <c:pt idx="0">
                  <c:v>电子与信息技术</c:v>
                </c:pt>
                <c:pt idx="1">
                  <c:v>汽车运用与维修</c:v>
                </c:pt>
                <c:pt idx="2">
                  <c:v>数控技术应用</c:v>
                </c:pt>
                <c:pt idx="3">
                  <c:v>机电技术应用</c:v>
                </c:pt>
                <c:pt idx="4">
                  <c:v>计算机动漫与游戏制作</c:v>
                </c:pt>
                <c:pt idx="5">
                  <c:v>计算机应用</c:v>
                </c:pt>
                <c:pt idx="6">
                  <c:v>会计</c:v>
                </c:pt>
                <c:pt idx="7">
                  <c:v>电子商务</c:v>
                </c:pt>
                <c:pt idx="8">
                  <c:v>学前教育</c:v>
                </c:pt>
                <c:pt idx="9">
                  <c:v>美术设计与制作</c:v>
                </c:pt>
              </c:strCache>
            </c:strRef>
          </c:cat>
          <c:val>
            <c:numRef>
              <c:f>'7.6.3上届毕业生就业情况'!$J$32:$J$41</c:f>
              <c:numCache>
                <c:formatCode>General</c:formatCode>
                <c:ptCount val="10"/>
                <c:pt idx="0">
                  <c:v>28</c:v>
                </c:pt>
                <c:pt idx="1">
                  <c:v>51</c:v>
                </c:pt>
                <c:pt idx="2">
                  <c:v>20</c:v>
                </c:pt>
                <c:pt idx="3">
                  <c:v>47</c:v>
                </c:pt>
                <c:pt idx="4">
                  <c:v>21</c:v>
                </c:pt>
                <c:pt idx="5">
                  <c:v>39</c:v>
                </c:pt>
                <c:pt idx="6">
                  <c:v>88</c:v>
                </c:pt>
                <c:pt idx="7">
                  <c:v>148</c:v>
                </c:pt>
                <c:pt idx="8">
                  <c:v>83</c:v>
                </c:pt>
                <c:pt idx="9">
                  <c:v>20</c:v>
                </c:pt>
              </c:numCache>
            </c:numRef>
          </c:val>
        </c:ser>
        <c:ser>
          <c:idx val="1"/>
          <c:order val="1"/>
          <c:tx>
            <c:strRef>
              <c:f>'7.6.3上届毕业生就业情况'!$K$31</c:f>
              <c:strCache>
                <c:ptCount val="1"/>
                <c:pt idx="0">
                  <c:v>就业数(人)</c:v>
                </c:pt>
              </c:strCache>
            </c:strRef>
          </c:tx>
          <c:invertIfNegative val="0"/>
          <c:dLbls>
            <c:dLbl>
              <c:idx val="1"/>
              <c:layout>
                <c:manualLayout>
                  <c:x val="0"/>
                  <c:y val="-0.01433691756272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228898426323319"/>
                  <c:y val="-0.01075268817204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686695278969957"/>
                  <c:y val="-0.0071684587813620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011444921316166"/>
                  <c:y val="-0.01075268817204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FF0000"/>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'7.6.3上届毕业生就业情况'!$I$32:$I$41</c:f>
              <c:strCache>
                <c:ptCount val="10"/>
                <c:pt idx="0">
                  <c:v>电子与信息技术</c:v>
                </c:pt>
                <c:pt idx="1">
                  <c:v>汽车运用与维修</c:v>
                </c:pt>
                <c:pt idx="2">
                  <c:v>数控技术应用</c:v>
                </c:pt>
                <c:pt idx="3">
                  <c:v>机电技术应用</c:v>
                </c:pt>
                <c:pt idx="4">
                  <c:v>计算机动漫与游戏制作</c:v>
                </c:pt>
                <c:pt idx="5">
                  <c:v>计算机应用</c:v>
                </c:pt>
                <c:pt idx="6">
                  <c:v>会计</c:v>
                </c:pt>
                <c:pt idx="7">
                  <c:v>电子商务</c:v>
                </c:pt>
                <c:pt idx="8">
                  <c:v>学前教育</c:v>
                </c:pt>
                <c:pt idx="9">
                  <c:v>美术设计与制作</c:v>
                </c:pt>
              </c:strCache>
            </c:strRef>
          </c:cat>
          <c:val>
            <c:numRef>
              <c:f>'7.6.3上届毕业生就业情况'!$K$32:$K$41</c:f>
              <c:numCache>
                <c:formatCode>General</c:formatCode>
                <c:ptCount val="10"/>
                <c:pt idx="0">
                  <c:v>15</c:v>
                </c:pt>
                <c:pt idx="1">
                  <c:v>49</c:v>
                </c:pt>
                <c:pt idx="2">
                  <c:v>17</c:v>
                </c:pt>
                <c:pt idx="3">
                  <c:v>34</c:v>
                </c:pt>
                <c:pt idx="4">
                  <c:v>16</c:v>
                </c:pt>
                <c:pt idx="5">
                  <c:v>34</c:v>
                </c:pt>
                <c:pt idx="6">
                  <c:v>81</c:v>
                </c:pt>
                <c:pt idx="7">
                  <c:v>121</c:v>
                </c:pt>
                <c:pt idx="8">
                  <c:v>72</c:v>
                </c:pt>
                <c:pt idx="9">
                  <c:v>18</c:v>
                </c:pt>
              </c:numCache>
            </c:numRef>
          </c:val>
        </c:ser>
        <c:ser>
          <c:idx val="2"/>
          <c:order val="2"/>
          <c:tx>
            <c:strRef>
              <c:f>'7.6.3上届毕业生就业情况'!$L$31</c:f>
              <c:strCache>
                <c:ptCount val="1"/>
                <c:pt idx="0">
                  <c:v>其中 毕业生用人单位满意或基本满意人数</c:v>
                </c:pt>
              </c:strCache>
            </c:strRef>
          </c:tx>
          <c:invertIfNegative val="0"/>
          <c:dLbls>
            <c:dLbl>
              <c:idx val="0"/>
              <c:layout>
                <c:manualLayout>
                  <c:x val="0"/>
                  <c:y val="-0.01075268817204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457796852646638"/>
                  <c:y val="-0.021505376344086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7921146953405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2867383512544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343347639484979"/>
                  <c:y val="-0.0215053763440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
                  <c:y val="-0.0250896057347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333300"/>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'7.6.3上届毕业生就业情况'!$I$32:$I$41</c:f>
              <c:strCache>
                <c:ptCount val="10"/>
                <c:pt idx="0">
                  <c:v>电子与信息技术</c:v>
                </c:pt>
                <c:pt idx="1">
                  <c:v>汽车运用与维修</c:v>
                </c:pt>
                <c:pt idx="2">
                  <c:v>数控技术应用</c:v>
                </c:pt>
                <c:pt idx="3">
                  <c:v>机电技术应用</c:v>
                </c:pt>
                <c:pt idx="4">
                  <c:v>计算机动漫与游戏制作</c:v>
                </c:pt>
                <c:pt idx="5">
                  <c:v>计算机应用</c:v>
                </c:pt>
                <c:pt idx="6">
                  <c:v>会计</c:v>
                </c:pt>
                <c:pt idx="7">
                  <c:v>电子商务</c:v>
                </c:pt>
                <c:pt idx="8">
                  <c:v>学前教育</c:v>
                </c:pt>
                <c:pt idx="9">
                  <c:v>美术设计与制作</c:v>
                </c:pt>
              </c:strCache>
            </c:strRef>
          </c:cat>
          <c:val>
            <c:numRef>
              <c:f>'7.6.3上届毕业生就业情况'!$L$32:$L$41</c:f>
              <c:numCache>
                <c:formatCode>General</c:formatCode>
                <c:ptCount val="10"/>
                <c:pt idx="0">
                  <c:v>12</c:v>
                </c:pt>
                <c:pt idx="1">
                  <c:v>42</c:v>
                </c:pt>
                <c:pt idx="2">
                  <c:v>14</c:v>
                </c:pt>
                <c:pt idx="3">
                  <c:v>29</c:v>
                </c:pt>
                <c:pt idx="4">
                  <c:v>13</c:v>
                </c:pt>
                <c:pt idx="5">
                  <c:v>28</c:v>
                </c:pt>
                <c:pt idx="6">
                  <c:v>70</c:v>
                </c:pt>
                <c:pt idx="7">
                  <c:v>103</c:v>
                </c:pt>
                <c:pt idx="8">
                  <c:v>68</c:v>
                </c:pt>
                <c:pt idx="9">
                  <c:v>15</c:v>
                </c:pt>
              </c:numCache>
            </c:numRef>
          </c:val>
        </c:ser>
        <c:dLbls>
          <c:showLegendKey val="0"/>
          <c:showVal val="0"/>
          <c:showCatName val="0"/>
          <c:showSerName val="0"/>
          <c:showPercent val="0"/>
          <c:showBubbleSize val="0"/>
        </c:dLbls>
        <c:gapWidth val="150"/>
        <c:axId val="248934784"/>
        <c:axId val="248936320"/>
      </c:barChart>
      <c:catAx>
        <c:axId val="248934784"/>
        <c:scaling>
          <c:orientation val="minMax"/>
        </c:scaling>
        <c:delete val="0"/>
        <c:axPos val="b"/>
        <c:numFmt formatCode="General" sourceLinked="1"/>
        <c:majorTickMark val="none"/>
        <c:minorTickMark val="none"/>
        <c:tickLblPos val="nextTo"/>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248936320"/>
        <c:crosses val="autoZero"/>
        <c:auto val="1"/>
        <c:lblAlgn val="ctr"/>
        <c:lblOffset val="100"/>
        <c:noMultiLvlLbl val="0"/>
      </c:catAx>
      <c:valAx>
        <c:axId val="248936320"/>
        <c:scaling>
          <c:orientation val="minMax"/>
        </c:scaling>
        <c:delete val="0"/>
        <c:axPos val="l"/>
        <c:majorGridlines/>
        <c:numFmt formatCode="General" sourceLinked="1"/>
        <c:majorTickMark val="none"/>
        <c:minorTickMark val="none"/>
        <c:tickLblPos val="nextTo"/>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248934784"/>
        <c:crosses val="autoZero"/>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Table>
    </c:plotArea>
    <c:plotVisOnly val="1"/>
    <c:dispBlanksAs val="gap"/>
    <c:showDLblsOverMax val="0"/>
  </c:chart>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en-US" altLang="zh-CN" sz="1800" b="1" i="0" u="none" strike="noStrike" baseline="0">
                <a:solidFill>
                  <a:srgbClr val="000000"/>
                </a:solidFill>
                <a:latin typeface="Calibri" panose="020F0502020204030204"/>
                <a:cs typeface="Calibri" panose="020F0502020204030204"/>
              </a:rPr>
              <a:t>2017-2018</a:t>
            </a:r>
            <a:r>
              <a:rPr lang="zh-CN" altLang="en-US" sz="1800" b="1" i="0" u="none" strike="noStrike" baseline="0">
                <a:solidFill>
                  <a:srgbClr val="000000"/>
                </a:solidFill>
                <a:latin typeface="宋体" panose="02010600030101010101" charset="-122"/>
                <a:ea typeface="宋体" panose="02010600030101010101" charset="-122"/>
              </a:rPr>
              <a:t>学年度上届毕业生就业情况一览</a:t>
            </a:r>
            <a:endParaRPr lang="zh-CN" altLang="en-US"/>
          </a:p>
        </c:rich>
      </c:tx>
      <c:layout/>
      <c:overlay val="0"/>
    </c:title>
    <c:autoTitleDeleted val="0"/>
    <c:plotArea>
      <c:layout/>
      <c:barChart>
        <c:barDir val="col"/>
        <c:grouping val="clustered"/>
        <c:varyColors val="0"/>
        <c:ser>
          <c:idx val="0"/>
          <c:order val="0"/>
          <c:tx>
            <c:strRef>
              <c:f>'7.6.3上届毕业生就业情况'!$D$31</c:f>
              <c:strCache>
                <c:ptCount val="1"/>
                <c:pt idx="0">
                  <c:v>毕业生数（人）</c:v>
                </c:pt>
              </c:strCache>
            </c:strRef>
          </c:tx>
          <c:invertIfNegative val="0"/>
          <c:dLbls>
            <c:dLbl>
              <c:idx val="0"/>
              <c:layout>
                <c:manualLayout>
                  <c:x val="-0.00114351057747284"/>
                  <c:y val="-0.030150753768844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0686106346483705"/>
                  <c:y val="0.003350083752093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0066CC"/>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'7.6.3上届毕业生就业情况'!$C$32:$C$41</c:f>
              <c:strCache>
                <c:ptCount val="10"/>
                <c:pt idx="0">
                  <c:v>计算机应用</c:v>
                </c:pt>
                <c:pt idx="1">
                  <c:v>学前教育</c:v>
                </c:pt>
                <c:pt idx="2">
                  <c:v>计算机动漫与游戏制作</c:v>
                </c:pt>
                <c:pt idx="3">
                  <c:v>电子与信息技术</c:v>
                </c:pt>
                <c:pt idx="4">
                  <c:v>机电技术应用</c:v>
                </c:pt>
                <c:pt idx="5">
                  <c:v>数控技术应用</c:v>
                </c:pt>
                <c:pt idx="6">
                  <c:v>汽车运用与维修</c:v>
                </c:pt>
                <c:pt idx="7">
                  <c:v>电子商务</c:v>
                </c:pt>
                <c:pt idx="8">
                  <c:v>会计</c:v>
                </c:pt>
                <c:pt idx="9">
                  <c:v>美术设计与制作</c:v>
                </c:pt>
              </c:strCache>
            </c:strRef>
          </c:cat>
          <c:val>
            <c:numRef>
              <c:f>'7.6.3上届毕业生就业情况'!$D$32:$D$41</c:f>
              <c:numCache>
                <c:formatCode>General</c:formatCode>
                <c:ptCount val="10"/>
                <c:pt idx="0">
                  <c:v>31</c:v>
                </c:pt>
                <c:pt idx="1">
                  <c:v>86</c:v>
                </c:pt>
                <c:pt idx="2">
                  <c:v>21</c:v>
                </c:pt>
                <c:pt idx="3">
                  <c:v>38</c:v>
                </c:pt>
                <c:pt idx="4">
                  <c:v>41</c:v>
                </c:pt>
                <c:pt idx="5">
                  <c:v>15</c:v>
                </c:pt>
                <c:pt idx="6">
                  <c:v>28</c:v>
                </c:pt>
                <c:pt idx="7">
                  <c:v>121</c:v>
                </c:pt>
                <c:pt idx="8">
                  <c:v>89</c:v>
                </c:pt>
                <c:pt idx="9">
                  <c:v>21</c:v>
                </c:pt>
              </c:numCache>
            </c:numRef>
          </c:val>
        </c:ser>
        <c:ser>
          <c:idx val="1"/>
          <c:order val="1"/>
          <c:tx>
            <c:strRef>
              <c:f>'7.6.3上届毕业生就业情况'!$E$31</c:f>
              <c:strCache>
                <c:ptCount val="1"/>
                <c:pt idx="0">
                  <c:v>就业数(人)</c:v>
                </c:pt>
              </c:strCache>
            </c:strRef>
          </c:tx>
          <c:invertIfNegative val="0"/>
          <c:dLbls>
            <c:dLbl>
              <c:idx val="3"/>
              <c:layout>
                <c:manualLayout>
                  <c:x val="0"/>
                  <c:y val="-0.020100502512562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800457404230989"/>
                  <c:y val="-3.0708746310802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FF0000"/>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'7.6.3上届毕业生就业情况'!$C$32:$C$41</c:f>
              <c:strCache>
                <c:ptCount val="10"/>
                <c:pt idx="0">
                  <c:v>计算机应用</c:v>
                </c:pt>
                <c:pt idx="1">
                  <c:v>学前教育</c:v>
                </c:pt>
                <c:pt idx="2">
                  <c:v>计算机动漫与游戏制作</c:v>
                </c:pt>
                <c:pt idx="3">
                  <c:v>电子与信息技术</c:v>
                </c:pt>
                <c:pt idx="4">
                  <c:v>机电技术应用</c:v>
                </c:pt>
                <c:pt idx="5">
                  <c:v>数控技术应用</c:v>
                </c:pt>
                <c:pt idx="6">
                  <c:v>汽车运用与维修</c:v>
                </c:pt>
                <c:pt idx="7">
                  <c:v>电子商务</c:v>
                </c:pt>
                <c:pt idx="8">
                  <c:v>会计</c:v>
                </c:pt>
                <c:pt idx="9">
                  <c:v>美术设计与制作</c:v>
                </c:pt>
              </c:strCache>
            </c:strRef>
          </c:cat>
          <c:val>
            <c:numRef>
              <c:f>'7.6.3上届毕业生就业情况'!$E$32:$E$41</c:f>
              <c:numCache>
                <c:formatCode>General</c:formatCode>
                <c:ptCount val="10"/>
                <c:pt idx="0">
                  <c:v>27</c:v>
                </c:pt>
                <c:pt idx="1">
                  <c:v>83</c:v>
                </c:pt>
                <c:pt idx="2">
                  <c:v>19</c:v>
                </c:pt>
                <c:pt idx="3">
                  <c:v>33</c:v>
                </c:pt>
                <c:pt idx="4">
                  <c:v>37</c:v>
                </c:pt>
                <c:pt idx="5">
                  <c:v>14</c:v>
                </c:pt>
                <c:pt idx="6">
                  <c:v>26</c:v>
                </c:pt>
                <c:pt idx="7">
                  <c:v>106</c:v>
                </c:pt>
                <c:pt idx="8">
                  <c:v>82</c:v>
                </c:pt>
                <c:pt idx="9">
                  <c:v>19</c:v>
                </c:pt>
              </c:numCache>
            </c:numRef>
          </c:val>
        </c:ser>
        <c:ser>
          <c:idx val="2"/>
          <c:order val="2"/>
          <c:tx>
            <c:strRef>
              <c:f>'7.6.3上届毕业生就业情况'!$F$31</c:f>
              <c:strCache>
                <c:ptCount val="1"/>
                <c:pt idx="0">
                  <c:v>其中 毕业生用人单位满意或基本满意人数</c:v>
                </c:pt>
              </c:strCache>
            </c:strRef>
          </c:tx>
          <c:invertIfNegative val="0"/>
          <c:dLbls>
            <c:dLbl>
              <c:idx val="1"/>
              <c:layout>
                <c:manualLayout>
                  <c:x val="0.00457404230989137"/>
                  <c:y val="0.013400335008375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30150753768844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333300"/>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'7.6.3上届毕业生就业情况'!$C$32:$C$41</c:f>
              <c:strCache>
                <c:ptCount val="10"/>
                <c:pt idx="0">
                  <c:v>计算机应用</c:v>
                </c:pt>
                <c:pt idx="1">
                  <c:v>学前教育</c:v>
                </c:pt>
                <c:pt idx="2">
                  <c:v>计算机动漫与游戏制作</c:v>
                </c:pt>
                <c:pt idx="3">
                  <c:v>电子与信息技术</c:v>
                </c:pt>
                <c:pt idx="4">
                  <c:v>机电技术应用</c:v>
                </c:pt>
                <c:pt idx="5">
                  <c:v>数控技术应用</c:v>
                </c:pt>
                <c:pt idx="6">
                  <c:v>汽车运用与维修</c:v>
                </c:pt>
                <c:pt idx="7">
                  <c:v>电子商务</c:v>
                </c:pt>
                <c:pt idx="8">
                  <c:v>会计</c:v>
                </c:pt>
                <c:pt idx="9">
                  <c:v>美术设计与制作</c:v>
                </c:pt>
              </c:strCache>
            </c:strRef>
          </c:cat>
          <c:val>
            <c:numRef>
              <c:f>'7.6.3上届毕业生就业情况'!$F$32:$F$41</c:f>
              <c:numCache>
                <c:formatCode>General</c:formatCode>
                <c:ptCount val="10"/>
                <c:pt idx="0">
                  <c:v>22</c:v>
                </c:pt>
                <c:pt idx="1">
                  <c:v>67</c:v>
                </c:pt>
                <c:pt idx="2">
                  <c:v>15</c:v>
                </c:pt>
                <c:pt idx="3">
                  <c:v>24</c:v>
                </c:pt>
                <c:pt idx="4">
                  <c:v>28</c:v>
                </c:pt>
                <c:pt idx="5">
                  <c:v>11</c:v>
                </c:pt>
                <c:pt idx="6">
                  <c:v>18</c:v>
                </c:pt>
                <c:pt idx="7">
                  <c:v>76</c:v>
                </c:pt>
                <c:pt idx="8">
                  <c:v>60</c:v>
                </c:pt>
                <c:pt idx="9">
                  <c:v>15</c:v>
                </c:pt>
              </c:numCache>
            </c:numRef>
          </c:val>
        </c:ser>
        <c:dLbls>
          <c:showLegendKey val="0"/>
          <c:showVal val="0"/>
          <c:showCatName val="0"/>
          <c:showSerName val="0"/>
          <c:showPercent val="0"/>
          <c:showBubbleSize val="0"/>
        </c:dLbls>
        <c:gapWidth val="150"/>
        <c:axId val="245612928"/>
        <c:axId val="245614464"/>
      </c:barChart>
      <c:catAx>
        <c:axId val="245612928"/>
        <c:scaling>
          <c:orientation val="minMax"/>
        </c:scaling>
        <c:delete val="0"/>
        <c:axPos val="b"/>
        <c:numFmt formatCode="General" sourceLinked="1"/>
        <c:majorTickMark val="none"/>
        <c:minorTickMark val="none"/>
        <c:tickLblPos val="nextTo"/>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245614464"/>
        <c:crosses val="autoZero"/>
        <c:auto val="1"/>
        <c:lblAlgn val="ctr"/>
        <c:lblOffset val="100"/>
        <c:noMultiLvlLbl val="0"/>
      </c:catAx>
      <c:valAx>
        <c:axId val="245614464"/>
        <c:scaling>
          <c:orientation val="minMax"/>
        </c:scaling>
        <c:delete val="0"/>
        <c:axPos val="l"/>
        <c:majorGridlines/>
        <c:numFmt formatCode="General" sourceLinked="1"/>
        <c:majorTickMark val="none"/>
        <c:minorTickMark val="none"/>
        <c:tickLblPos val="nextTo"/>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245612928"/>
        <c:crosses val="autoZero"/>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Table>
    </c:plotArea>
    <c:plotVisOnly val="1"/>
    <c:dispBlanksAs val="gap"/>
    <c:showDLblsOverMax val="0"/>
  </c:chart>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'7.6.2应届毕业生就业情况'!$E$18</c:f>
              <c:strCache>
                <c:ptCount val="1"/>
                <c:pt idx="0">
                  <c:v>2018年升学率</c:v>
                </c:pt>
              </c:strCache>
            </c:strRef>
          </c:tx>
          <c:invertIfNegative val="0"/>
          <c:dLbls>
            <c:delete val="1"/>
          </c:dLbls>
          <c:cat>
            <c:strRef>
              <c:f>'7.6.2应届毕业生就业情况'!$D$19:$D$29</c:f>
              <c:strCache>
                <c:ptCount val="11"/>
                <c:pt idx="0">
                  <c:v>电子与信息技术</c:v>
                </c:pt>
                <c:pt idx="1">
                  <c:v>汽车运用与维修</c:v>
                </c:pt>
                <c:pt idx="2">
                  <c:v>中餐烹饪与营养膳食</c:v>
                </c:pt>
                <c:pt idx="3">
                  <c:v>数控技术应用</c:v>
                </c:pt>
                <c:pt idx="4">
                  <c:v>机电技术应用</c:v>
                </c:pt>
                <c:pt idx="5">
                  <c:v>计算机动漫与游戏制作</c:v>
                </c:pt>
                <c:pt idx="6">
                  <c:v>计算机应用</c:v>
                </c:pt>
                <c:pt idx="7">
                  <c:v>会计</c:v>
                </c:pt>
                <c:pt idx="8">
                  <c:v>电子商务</c:v>
                </c:pt>
                <c:pt idx="9">
                  <c:v>学前教育</c:v>
                </c:pt>
                <c:pt idx="10">
                  <c:v>美术设计与制作</c:v>
                </c:pt>
              </c:strCache>
            </c:strRef>
          </c:cat>
          <c:val>
            <c:numRef>
              <c:f>'7.6.2应届毕业生就业情况'!$E$19:$E$29</c:f>
              <c:numCache>
                <c:formatCode>General</c:formatCode>
                <c:ptCount val="11"/>
                <c:pt idx="0">
                  <c:v>51</c:v>
                </c:pt>
                <c:pt idx="1">
                  <c:v>4</c:v>
                </c:pt>
                <c:pt idx="2">
                  <c:v>2</c:v>
                </c:pt>
                <c:pt idx="3">
                  <c:v>14</c:v>
                </c:pt>
                <c:pt idx="4">
                  <c:v>17</c:v>
                </c:pt>
                <c:pt idx="5">
                  <c:v>25</c:v>
                </c:pt>
                <c:pt idx="6">
                  <c:v>8</c:v>
                </c:pt>
                <c:pt idx="7">
                  <c:v>19</c:v>
                </c:pt>
                <c:pt idx="8">
                  <c:v>21</c:v>
                </c:pt>
                <c:pt idx="9">
                  <c:v>12</c:v>
                </c:pt>
                <c:pt idx="10">
                  <c:v>13</c:v>
                </c:pt>
              </c:numCache>
            </c:numRef>
          </c:val>
        </c:ser>
        <c:ser>
          <c:idx val="1"/>
          <c:order val="1"/>
          <c:tx>
            <c:strRef>
              <c:f>'7.6.2应届毕业生就业情况'!$F$18</c:f>
              <c:strCache>
                <c:ptCount val="1"/>
                <c:pt idx="0">
                  <c:v>2017年升学率</c:v>
                </c:pt>
              </c:strCache>
            </c:strRef>
          </c:tx>
          <c:invertIfNegative val="0"/>
          <c:dLbls>
            <c:delete val="1"/>
          </c:dLbls>
          <c:cat>
            <c:strRef>
              <c:f>'7.6.2应届毕业生就业情况'!$D$19:$D$29</c:f>
              <c:strCache>
                <c:ptCount val="11"/>
                <c:pt idx="0">
                  <c:v>电子与信息技术</c:v>
                </c:pt>
                <c:pt idx="1">
                  <c:v>汽车运用与维修</c:v>
                </c:pt>
                <c:pt idx="2">
                  <c:v>中餐烹饪与营养膳食</c:v>
                </c:pt>
                <c:pt idx="3">
                  <c:v>数控技术应用</c:v>
                </c:pt>
                <c:pt idx="4">
                  <c:v>机电技术应用</c:v>
                </c:pt>
                <c:pt idx="5">
                  <c:v>计算机动漫与游戏制作</c:v>
                </c:pt>
                <c:pt idx="6">
                  <c:v>计算机应用</c:v>
                </c:pt>
                <c:pt idx="7">
                  <c:v>会计</c:v>
                </c:pt>
                <c:pt idx="8">
                  <c:v>电子商务</c:v>
                </c:pt>
                <c:pt idx="9">
                  <c:v>学前教育</c:v>
                </c:pt>
                <c:pt idx="10">
                  <c:v>美术设计与制作</c:v>
                </c:pt>
              </c:strCache>
            </c:strRef>
          </c:cat>
          <c:val>
            <c:numRef>
              <c:f>'7.6.2应届毕业生就业情况'!$F$19:$F$29</c:f>
              <c:numCache>
                <c:formatCode>General</c:formatCode>
                <c:ptCount val="11"/>
                <c:pt idx="0">
                  <c:v>39</c:v>
                </c:pt>
                <c:pt idx="1">
                  <c:v>0</c:v>
                </c:pt>
                <c:pt idx="2" c:formatCode="0_);[Red]\(0\)">
                  <c:v>0</c:v>
                </c:pt>
                <c:pt idx="3">
                  <c:v>10</c:v>
                </c:pt>
                <c:pt idx="4">
                  <c:v>23</c:v>
                </c:pt>
                <c:pt idx="5">
                  <c:v>14</c:v>
                </c:pt>
                <c:pt idx="6">
                  <c:v>7</c:v>
                </c:pt>
                <c:pt idx="7">
                  <c:v>4</c:v>
                </c:pt>
                <c:pt idx="8">
                  <c:v>16</c:v>
                </c:pt>
                <c:pt idx="9">
                  <c:v>10</c:v>
                </c:pt>
                <c:pt idx="10">
                  <c:v>0</c:v>
                </c:pt>
              </c:numCache>
            </c:numRef>
          </c:val>
        </c:ser>
        <c:dLbls>
          <c:showLegendKey val="0"/>
          <c:showVal val="0"/>
          <c:showCatName val="0"/>
          <c:showSerName val="0"/>
          <c:showPercent val="0"/>
          <c:showBubbleSize val="0"/>
        </c:dLbls>
        <c:gapWidth val="150"/>
        <c:axId val="248978816"/>
        <c:axId val="248980608"/>
      </c:barChart>
      <c:catAx>
        <c:axId val="248978816"/>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8980608"/>
        <c:crosses val="autoZero"/>
        <c:auto val="1"/>
        <c:lblAlgn val="ctr"/>
        <c:lblOffset val="100"/>
        <c:noMultiLvlLbl val="0"/>
      </c:catAx>
      <c:valAx>
        <c:axId val="24898060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8978816"/>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en-US" altLang="zh-CN" sz="1600" b="1" i="0" u="none" strike="noStrike" baseline="0">
                <a:solidFill>
                  <a:srgbClr val="000000"/>
                </a:solidFill>
                <a:latin typeface="Calibri" panose="020F0502020204030204"/>
                <a:cs typeface="Calibri" panose="020F0502020204030204"/>
              </a:rPr>
              <a:t>2018-2019</a:t>
            </a:r>
            <a:r>
              <a:rPr lang="zh-CN" altLang="en-US" sz="1600" b="1" i="0" u="none" strike="noStrike" baseline="0">
                <a:solidFill>
                  <a:srgbClr val="000000"/>
                </a:solidFill>
                <a:latin typeface="宋体" panose="02010600030101010101" charset="-122"/>
                <a:ea typeface="宋体" panose="02010600030101010101" charset="-122"/>
              </a:rPr>
              <a:t>学年度</a:t>
            </a:r>
            <a:endParaRPr lang="en-US" altLang="zh-CN" sz="1600" b="1" i="0" u="none" strike="noStrike" baseline="0">
              <a:solidFill>
                <a:srgbClr val="000000"/>
              </a:solidFill>
              <a:latin typeface="宋体" panose="02010600030101010101" charset="-122"/>
              <a:ea typeface="宋体" panose="02010600030101010101" charset="-122"/>
            </a:endParaRPr>
          </a:p>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sz="1600" b="1" i="0" u="none" strike="noStrike" baseline="0">
                <a:solidFill>
                  <a:srgbClr val="000000"/>
                </a:solidFill>
                <a:latin typeface="宋体" panose="02010600030101010101" charset="-122"/>
                <a:ea typeface="宋体" panose="02010600030101010101" charset="-122"/>
              </a:rPr>
              <a:t>顶岗实习</a:t>
            </a:r>
            <a:endParaRPr lang="en-US" altLang="zh-CN" sz="1600" b="1" i="0" u="none" strike="noStrike" baseline="0">
              <a:solidFill>
                <a:srgbClr val="000000"/>
              </a:solidFill>
              <a:latin typeface="宋体" panose="02010600030101010101" charset="-122"/>
              <a:ea typeface="宋体" panose="02010600030101010101" charset="-122"/>
            </a:endParaRPr>
          </a:p>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sz="1600" b="1" i="0" u="none" strike="noStrike" baseline="0">
                <a:solidFill>
                  <a:srgbClr val="000000"/>
                </a:solidFill>
                <a:latin typeface="宋体" panose="02010600030101010101" charset="-122"/>
                <a:ea typeface="宋体" panose="02010600030101010101" charset="-122"/>
              </a:rPr>
              <a:t>情况一览</a:t>
            </a:r>
            <a:endParaRPr lang="zh-CN" altLang="en-US" sz="1600"/>
          </a:p>
        </c:rich>
      </c:tx>
      <c:layout>
        <c:manualLayout>
          <c:xMode val="edge"/>
          <c:yMode val="edge"/>
          <c:x val="0.015474407828756"/>
          <c:y val="0.279251711315002"/>
        </c:manualLayout>
      </c:layout>
      <c:overlay val="0"/>
    </c:title>
    <c:autoTitleDeleted val="0"/>
    <c:plotArea>
      <c:layout>
        <c:manualLayout>
          <c:layoutTarget val="inner"/>
          <c:xMode val="edge"/>
          <c:yMode val="edge"/>
          <c:x val="0.335146898803047"/>
          <c:y val="0.0129971406290616"/>
          <c:w val="0.664853101196953"/>
          <c:h val="0.599721230963831"/>
        </c:manualLayout>
      </c:layout>
      <c:barChart>
        <c:barDir val="col"/>
        <c:grouping val="clustered"/>
        <c:varyColors val="0"/>
        <c:ser>
          <c:idx val="0"/>
          <c:order val="0"/>
          <c:tx>
            <c:strRef>
              <c:f>'7.4岗顶实习'!$G$29</c:f>
              <c:strCache>
                <c:ptCount val="1"/>
                <c:pt idx="0">
                  <c:v>顶岗实习毕业生总数（人）</c:v>
                </c:pt>
              </c:strCache>
            </c:strRef>
          </c:tx>
          <c:invertIfNegative val="0"/>
          <c:dLbls>
            <c:dLbl>
              <c:idx val="1"/>
              <c:layout>
                <c:manualLayout>
                  <c:x val="-0.0030511057815972"/>
                  <c:y val="-0.022662889518413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018885741265344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18885741265344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30511057815972"/>
                  <c:y val="-0.022662889518413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7.45817241979338e-17"/>
                  <c:y val="-0.02644003777148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040681410421296"/>
                  <c:y val="-0.022662889518413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
                  <c:y val="-0.011331444759206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0066CC"/>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'7.4岗顶实习'!$F$30:$F$40</c:f>
              <c:strCache>
                <c:ptCount val="11"/>
                <c:pt idx="0">
                  <c:v>电子与信息技术</c:v>
                </c:pt>
                <c:pt idx="1">
                  <c:v>汽车运用与维修</c:v>
                </c:pt>
                <c:pt idx="2">
                  <c:v>中餐烹饪与营养膳食</c:v>
                </c:pt>
                <c:pt idx="3">
                  <c:v>数控技术应用</c:v>
                </c:pt>
                <c:pt idx="4">
                  <c:v>机电技术应用</c:v>
                </c:pt>
                <c:pt idx="5">
                  <c:v>计算机动漫与游戏制作</c:v>
                </c:pt>
                <c:pt idx="6">
                  <c:v>计算机应用</c:v>
                </c:pt>
                <c:pt idx="7">
                  <c:v>会计</c:v>
                </c:pt>
                <c:pt idx="8">
                  <c:v>电子商务</c:v>
                </c:pt>
                <c:pt idx="9">
                  <c:v>学前教育</c:v>
                </c:pt>
                <c:pt idx="10">
                  <c:v>美术设计与制作</c:v>
                </c:pt>
              </c:strCache>
            </c:strRef>
          </c:cat>
          <c:val>
            <c:numRef>
              <c:f>'7.4岗顶实习'!$G$30:$G$40</c:f>
              <c:numCache>
                <c:formatCode>General</c:formatCode>
                <c:ptCount val="11"/>
                <c:pt idx="0">
                  <c:v>17</c:v>
                </c:pt>
                <c:pt idx="1">
                  <c:v>62</c:v>
                </c:pt>
                <c:pt idx="2">
                  <c:v>49</c:v>
                </c:pt>
                <c:pt idx="3">
                  <c:v>24</c:v>
                </c:pt>
                <c:pt idx="4">
                  <c:v>46</c:v>
                </c:pt>
                <c:pt idx="5">
                  <c:v>23</c:v>
                </c:pt>
                <c:pt idx="6">
                  <c:v>54</c:v>
                </c:pt>
                <c:pt idx="7">
                  <c:v>54</c:v>
                </c:pt>
                <c:pt idx="8">
                  <c:v>186</c:v>
                </c:pt>
                <c:pt idx="9">
                  <c:v>88</c:v>
                </c:pt>
                <c:pt idx="10">
                  <c:v>19</c:v>
                </c:pt>
              </c:numCache>
            </c:numRef>
          </c:val>
        </c:ser>
        <c:ser>
          <c:idx val="1"/>
          <c:order val="1"/>
          <c:tx>
            <c:strRef>
              <c:f>'7.4岗顶实习'!$H$29</c:f>
              <c:strCache>
                <c:ptCount val="1"/>
                <c:pt idx="0">
                  <c:v>企业录用顶岗实习毕业生数（人）</c:v>
                </c:pt>
              </c:strCache>
            </c:strRef>
          </c:tx>
          <c:invertIfNegative val="0"/>
          <c:dLbls>
            <c:dLbl>
              <c:idx val="1"/>
              <c:layout>
                <c:manualLayout>
                  <c:x val="0"/>
                  <c:y val="-0.030217186024551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30511057815972"/>
                  <c:y val="-0.011331444759206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22662889518413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885741265344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22662889518413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020340705210648"/>
                  <c:y val="-0.02644003777148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
                  <c:y val="-0.0075542965061378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FF0000"/>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'7.4岗顶实习'!$F$30:$F$40</c:f>
              <c:strCache>
                <c:ptCount val="11"/>
                <c:pt idx="0">
                  <c:v>电子与信息技术</c:v>
                </c:pt>
                <c:pt idx="1">
                  <c:v>汽车运用与维修</c:v>
                </c:pt>
                <c:pt idx="2">
                  <c:v>中餐烹饪与营养膳食</c:v>
                </c:pt>
                <c:pt idx="3">
                  <c:v>数控技术应用</c:v>
                </c:pt>
                <c:pt idx="4">
                  <c:v>机电技术应用</c:v>
                </c:pt>
                <c:pt idx="5">
                  <c:v>计算机动漫与游戏制作</c:v>
                </c:pt>
                <c:pt idx="6">
                  <c:v>计算机应用</c:v>
                </c:pt>
                <c:pt idx="7">
                  <c:v>会计</c:v>
                </c:pt>
                <c:pt idx="8">
                  <c:v>电子商务</c:v>
                </c:pt>
                <c:pt idx="9">
                  <c:v>学前教育</c:v>
                </c:pt>
                <c:pt idx="10">
                  <c:v>美术设计与制作</c:v>
                </c:pt>
              </c:strCache>
            </c:strRef>
          </c:cat>
          <c:val>
            <c:numRef>
              <c:f>'7.4岗顶实习'!$H$30:$H$40</c:f>
              <c:numCache>
                <c:formatCode>General</c:formatCode>
                <c:ptCount val="11"/>
                <c:pt idx="0">
                  <c:v>17</c:v>
                </c:pt>
                <c:pt idx="1">
                  <c:v>62</c:v>
                </c:pt>
                <c:pt idx="2">
                  <c:v>49</c:v>
                </c:pt>
                <c:pt idx="3">
                  <c:v>24</c:v>
                </c:pt>
                <c:pt idx="4">
                  <c:v>46</c:v>
                </c:pt>
                <c:pt idx="5">
                  <c:v>23</c:v>
                </c:pt>
                <c:pt idx="6">
                  <c:v>54</c:v>
                </c:pt>
                <c:pt idx="7">
                  <c:v>54</c:v>
                </c:pt>
                <c:pt idx="8">
                  <c:v>186</c:v>
                </c:pt>
                <c:pt idx="9">
                  <c:v>88</c:v>
                </c:pt>
                <c:pt idx="10">
                  <c:v>19</c:v>
                </c:pt>
              </c:numCache>
            </c:numRef>
          </c:val>
        </c:ser>
        <c:ser>
          <c:idx val="2"/>
          <c:order val="2"/>
          <c:tx>
            <c:strRef>
              <c:f>'7.4岗顶实习'!$I$29</c:f>
              <c:strCache>
                <c:ptCount val="1"/>
                <c:pt idx="0">
                  <c:v>顶岗实习对口毕业生数（人）</c:v>
                </c:pt>
              </c:strCache>
            </c:strRef>
          </c:tx>
          <c:invertIfNegative val="0"/>
          <c:dLbls>
            <c:dLbl>
              <c:idx val="0"/>
              <c:layout>
                <c:manualLayout>
                  <c:x val="0"/>
                  <c:y val="-0.011331444759206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72908620989669e-17"/>
                  <c:y val="-0.033994334277620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610221156319441"/>
                  <c:y val="0.00377714825306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11331444759206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333300"/>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'7.4岗顶实习'!$F$30:$F$40</c:f>
              <c:strCache>
                <c:ptCount val="11"/>
                <c:pt idx="0">
                  <c:v>电子与信息技术</c:v>
                </c:pt>
                <c:pt idx="1">
                  <c:v>汽车运用与维修</c:v>
                </c:pt>
                <c:pt idx="2">
                  <c:v>中餐烹饪与营养膳食</c:v>
                </c:pt>
                <c:pt idx="3">
                  <c:v>数控技术应用</c:v>
                </c:pt>
                <c:pt idx="4">
                  <c:v>机电技术应用</c:v>
                </c:pt>
                <c:pt idx="5">
                  <c:v>计算机动漫与游戏制作</c:v>
                </c:pt>
                <c:pt idx="6">
                  <c:v>计算机应用</c:v>
                </c:pt>
                <c:pt idx="7">
                  <c:v>会计</c:v>
                </c:pt>
                <c:pt idx="8">
                  <c:v>电子商务</c:v>
                </c:pt>
                <c:pt idx="9">
                  <c:v>学前教育</c:v>
                </c:pt>
                <c:pt idx="10">
                  <c:v>美术设计与制作</c:v>
                </c:pt>
              </c:strCache>
            </c:strRef>
          </c:cat>
          <c:val>
            <c:numRef>
              <c:f>'7.4岗顶实习'!$I$30:$I$40</c:f>
              <c:numCache>
                <c:formatCode>General</c:formatCode>
                <c:ptCount val="11"/>
                <c:pt idx="0">
                  <c:v>9</c:v>
                </c:pt>
                <c:pt idx="1">
                  <c:v>45</c:v>
                </c:pt>
                <c:pt idx="2">
                  <c:v>40</c:v>
                </c:pt>
                <c:pt idx="3">
                  <c:v>21</c:v>
                </c:pt>
                <c:pt idx="4">
                  <c:v>35</c:v>
                </c:pt>
                <c:pt idx="5">
                  <c:v>18</c:v>
                </c:pt>
                <c:pt idx="6">
                  <c:v>39</c:v>
                </c:pt>
                <c:pt idx="7">
                  <c:v>40</c:v>
                </c:pt>
                <c:pt idx="8">
                  <c:v>135</c:v>
                </c:pt>
                <c:pt idx="9">
                  <c:v>77</c:v>
                </c:pt>
                <c:pt idx="10">
                  <c:v>15</c:v>
                </c:pt>
              </c:numCache>
            </c:numRef>
          </c:val>
        </c:ser>
        <c:dLbls>
          <c:showLegendKey val="0"/>
          <c:showVal val="0"/>
          <c:showCatName val="0"/>
          <c:showSerName val="0"/>
          <c:showPercent val="0"/>
          <c:showBubbleSize val="0"/>
        </c:dLbls>
        <c:gapWidth val="150"/>
        <c:axId val="248252672"/>
        <c:axId val="248283136"/>
      </c:barChart>
      <c:catAx>
        <c:axId val="248252672"/>
        <c:scaling>
          <c:orientation val="minMax"/>
        </c:scaling>
        <c:delete val="0"/>
        <c:axPos val="b"/>
        <c:numFmt formatCode="@" sourceLinked="1"/>
        <c:majorTickMark val="none"/>
        <c:minorTickMark val="none"/>
        <c:tickLblPos val="nextTo"/>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248283136"/>
        <c:crosses val="autoZero"/>
        <c:auto val="1"/>
        <c:lblAlgn val="ctr"/>
        <c:lblOffset val="100"/>
        <c:noMultiLvlLbl val="0"/>
      </c:catAx>
      <c:valAx>
        <c:axId val="248283136"/>
        <c:scaling>
          <c:orientation val="minMax"/>
        </c:scaling>
        <c:delete val="0"/>
        <c:axPos val="l"/>
        <c:majorGridlines/>
        <c:numFmt formatCode="General" sourceLinked="1"/>
        <c:majorTickMark val="none"/>
        <c:minorTickMark val="none"/>
        <c:tickLblPos val="nextTo"/>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248252672"/>
        <c:crosses val="autoZero"/>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Table>
    </c:plotArea>
    <c:plotVisOnly val="1"/>
    <c:dispBlanksAs val="gap"/>
    <c:showDLblsOverMax val="0"/>
  </c:chart>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在校生评价</a:t>
            </a:r>
            <a:endParaRPr lang="zh-CN" altLang="en-US"/>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elete val="1"/>
          </c:dLbls>
          <c:cat>
            <c:strRef>
              <c:f>[诊改图表.xlsx]Sheet1!$A$30:$F$30</c:f>
              <c:strCache>
                <c:ptCount val="6"/>
                <c:pt idx="0">
                  <c:v>对教师满意度</c:v>
                </c:pt>
                <c:pt idx="1">
                  <c:v>对班主任满意度</c:v>
                </c:pt>
                <c:pt idx="2">
                  <c:v>对实习导师满意度</c:v>
                </c:pt>
                <c:pt idx="3">
                  <c:v>对生活教官满意度</c:v>
                </c:pt>
                <c:pt idx="4">
                  <c:v>对社团满意度</c:v>
                </c:pt>
                <c:pt idx="5">
                  <c:v>对饭堂满意度</c:v>
                </c:pt>
              </c:strCache>
            </c:strRef>
          </c:cat>
          <c:val>
            <c:numRef>
              <c:f>[诊改图表.xlsx]Sheet1!$A$31:$F$31</c:f>
              <c:numCache>
                <c:formatCode>0.00%</c:formatCode>
                <c:ptCount val="6"/>
                <c:pt idx="0">
                  <c:v>0.907</c:v>
                </c:pt>
                <c:pt idx="1">
                  <c:v>0.913</c:v>
                </c:pt>
                <c:pt idx="2">
                  <c:v>0.846000000000001</c:v>
                </c:pt>
                <c:pt idx="3" c:formatCode="0%">
                  <c:v>0.950000000000001</c:v>
                </c:pt>
                <c:pt idx="4">
                  <c:v>0.9083</c:v>
                </c:pt>
                <c:pt idx="5">
                  <c:v>0.903</c:v>
                </c:pt>
              </c:numCache>
            </c:numRef>
          </c:val>
        </c:ser>
        <c:dLbls>
          <c:showLegendKey val="0"/>
          <c:showVal val="0"/>
          <c:showCatName val="0"/>
          <c:showSerName val="0"/>
          <c:showPercent val="0"/>
          <c:showBubbleSize val="0"/>
        </c:dLbls>
        <c:gapWidth val="219"/>
        <c:overlap val="-27"/>
        <c:axId val="248304768"/>
        <c:axId val="248306304"/>
      </c:barChart>
      <c:catAx>
        <c:axId val="248304768"/>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8306304"/>
        <c:crosses val="autoZero"/>
        <c:auto val="1"/>
        <c:lblAlgn val="ctr"/>
        <c:lblOffset val="100"/>
        <c:noMultiLvlLbl val="0"/>
      </c:catAx>
      <c:valAx>
        <c:axId val="24830630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8304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en-US" altLang="zh-CN" sz="1800" b="1" i="0" u="none" strike="noStrike" baseline="0">
                <a:solidFill>
                  <a:srgbClr val="000000"/>
                </a:solidFill>
                <a:latin typeface="Calibri" panose="020F0502020204030204"/>
                <a:cs typeface="Calibri" panose="020F0502020204030204"/>
              </a:rPr>
              <a:t>2017-2018</a:t>
            </a:r>
            <a:r>
              <a:rPr lang="zh-CN" altLang="en-US" sz="1800" b="1" i="0" u="none" strike="noStrike" baseline="0">
                <a:solidFill>
                  <a:srgbClr val="000000"/>
                </a:solidFill>
                <a:latin typeface="宋体" panose="02010600030101010101" charset="-122"/>
                <a:ea typeface="宋体" panose="02010600030101010101" charset="-122"/>
              </a:rPr>
              <a:t>与</a:t>
            </a:r>
            <a:r>
              <a:rPr lang="en-US" altLang="zh-CN" sz="1800" b="1" i="0" u="none" strike="noStrike" baseline="0">
                <a:solidFill>
                  <a:srgbClr val="000000"/>
                </a:solidFill>
                <a:latin typeface="Calibri" panose="020F0502020204030204"/>
                <a:cs typeface="Calibri" panose="020F0502020204030204"/>
              </a:rPr>
              <a:t>2018-2019</a:t>
            </a:r>
            <a:r>
              <a:rPr lang="zh-CN" altLang="en-US" sz="1800" b="1" i="0" u="none" strike="noStrike" baseline="0">
                <a:solidFill>
                  <a:srgbClr val="000000"/>
                </a:solidFill>
                <a:latin typeface="宋体" panose="02010600030101010101" charset="-122"/>
                <a:ea typeface="宋体" panose="02010600030101010101" charset="-122"/>
              </a:rPr>
              <a:t>学年度经费收入对比图</a:t>
            </a:r>
            <a:endParaRPr lang="zh-CN" altLang="en-US"/>
          </a:p>
        </c:rich>
      </c:tx>
      <c:layout/>
      <c:overlay val="0"/>
    </c:title>
    <c:autoTitleDeleted val="0"/>
    <c:plotArea>
      <c:layout/>
      <c:barChart>
        <c:barDir val="col"/>
        <c:grouping val="clustered"/>
        <c:varyColors val="0"/>
        <c:ser>
          <c:idx val="0"/>
          <c:order val="0"/>
          <c:tx>
            <c:strRef>
              <c:f>2017-2018</c:f>
              <c:strCache>
                <c:ptCount val="1"/>
                <c:pt idx="0">
                  <c:v>2017-2018</c:v>
                </c:pt>
              </c:strCache>
            </c:strRef>
          </c:tx>
          <c:invertIfNegative val="0"/>
          <c:dLbls>
            <c:dLbl>
              <c:idx val="2"/>
              <c:layout>
                <c:manualLayout>
                  <c:x val="0"/>
                  <c:y val="-0.039603960396039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0066CC"/>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'5.1经费收入'!$C$11:$E$11</c:f>
              <c:strCache>
                <c:ptCount val="3"/>
                <c:pt idx="0">
                  <c:v>中央、地方财政专项投入</c:v>
                </c:pt>
                <c:pt idx="1">
                  <c:v>财政经常性补助收入</c:v>
                </c:pt>
                <c:pt idx="2">
                  <c:v>学费收入</c:v>
                </c:pt>
              </c:strCache>
            </c:strRef>
          </c:cat>
          <c:val>
            <c:numRef>
              <c:f>'5.1经费收入'!$C$12:$E$12</c:f>
              <c:numCache>
                <c:formatCode>General</c:formatCode>
                <c:ptCount val="3"/>
                <c:pt idx="0">
                  <c:v>588.5</c:v>
                </c:pt>
                <c:pt idx="1">
                  <c:v>2301.34</c:v>
                </c:pt>
                <c:pt idx="2">
                  <c:v>182.41</c:v>
                </c:pt>
              </c:numCache>
            </c:numRef>
          </c:val>
        </c:ser>
        <c:ser>
          <c:idx val="1"/>
          <c:order val="1"/>
          <c:tx>
            <c:strRef>
              <c:f>2018-2019</c:f>
              <c:strCache>
                <c:ptCount val="1"/>
                <c:pt idx="0">
                  <c:v>2018-2019</c:v>
                </c:pt>
              </c:strCache>
            </c:strRef>
          </c:tx>
          <c:invertIfNegative val="0"/>
          <c:dLbls>
            <c:dLbl>
              <c:idx val="0"/>
              <c:layout>
                <c:manualLayout>
                  <c:x val="0.0046242774566474"/>
                  <c:y val="-0.026402640264026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03960430688738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FF0000"/>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'5.1经费收入'!$C$11:$E$11</c:f>
              <c:strCache>
                <c:ptCount val="3"/>
                <c:pt idx="0">
                  <c:v>中央、地方财政专项投入</c:v>
                </c:pt>
                <c:pt idx="1">
                  <c:v>财政经常性补助收入</c:v>
                </c:pt>
                <c:pt idx="2">
                  <c:v>学费收入</c:v>
                </c:pt>
              </c:strCache>
            </c:strRef>
          </c:cat>
          <c:val>
            <c:numRef>
              <c:f>'5.1经费收入'!$C$13:$E$13</c:f>
              <c:numCache>
                <c:formatCode>General</c:formatCode>
                <c:ptCount val="3"/>
                <c:pt idx="0">
                  <c:v>718.25</c:v>
                </c:pt>
                <c:pt idx="1">
                  <c:v>2960.29</c:v>
                </c:pt>
                <c:pt idx="2">
                  <c:v>165.14</c:v>
                </c:pt>
              </c:numCache>
            </c:numRef>
          </c:val>
        </c:ser>
        <c:dLbls>
          <c:showLegendKey val="0"/>
          <c:showVal val="0"/>
          <c:showCatName val="0"/>
          <c:showSerName val="0"/>
          <c:showPercent val="0"/>
          <c:showBubbleSize val="0"/>
        </c:dLbls>
        <c:gapWidth val="150"/>
        <c:axId val="441983744"/>
        <c:axId val="374006144"/>
      </c:barChart>
      <c:catAx>
        <c:axId val="441983744"/>
        <c:scaling>
          <c:orientation val="minMax"/>
        </c:scaling>
        <c:delete val="0"/>
        <c:axPos val="b"/>
        <c:numFmt formatCode="General" sourceLinked="1"/>
        <c:majorTickMark val="none"/>
        <c:minorTickMark val="none"/>
        <c:tickLblPos val="nextTo"/>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374006144"/>
        <c:crosses val="autoZero"/>
        <c:auto val="1"/>
        <c:lblAlgn val="ctr"/>
        <c:lblOffset val="100"/>
        <c:noMultiLvlLbl val="0"/>
      </c:catAx>
      <c:valAx>
        <c:axId val="374006144"/>
        <c:scaling>
          <c:orientation val="minMax"/>
        </c:scaling>
        <c:delete val="0"/>
        <c:axPos val="l"/>
        <c:majorGridlines/>
        <c:numFmt formatCode="General" sourceLinked="1"/>
        <c:majorTickMark val="none"/>
        <c:minorTickMark val="none"/>
        <c:tickLblPos val="nextTo"/>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441983744"/>
        <c:crosses val="autoZero"/>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Table>
    </c:plotArea>
    <c:plotVisOnly val="1"/>
    <c:dispBlanksAs val="gap"/>
    <c:showDLblsOverMax val="0"/>
  </c:chart>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en-US" altLang="zh-CN" sz="1800" b="1" i="0" u="none" strike="noStrike" baseline="0">
                <a:solidFill>
                  <a:srgbClr val="000000"/>
                </a:solidFill>
                <a:latin typeface="Calibri" panose="020F0502020204030204"/>
                <a:cs typeface="Calibri" panose="020F0502020204030204"/>
              </a:rPr>
              <a:t>2017-2018</a:t>
            </a:r>
            <a:r>
              <a:rPr lang="zh-CN" altLang="en-US" sz="1800" b="1" i="0" u="none" strike="noStrike" baseline="0">
                <a:solidFill>
                  <a:srgbClr val="000000"/>
                </a:solidFill>
                <a:latin typeface="宋体" panose="02010600030101010101" charset="-122"/>
                <a:ea typeface="宋体" panose="02010600030101010101" charset="-122"/>
              </a:rPr>
              <a:t>与</a:t>
            </a:r>
            <a:r>
              <a:rPr lang="en-US" altLang="zh-CN" sz="1800" b="1" i="0" u="none" strike="noStrike" baseline="0">
                <a:solidFill>
                  <a:srgbClr val="000000"/>
                </a:solidFill>
                <a:latin typeface="Calibri" panose="020F0502020204030204"/>
                <a:cs typeface="Calibri" panose="020F0502020204030204"/>
              </a:rPr>
              <a:t>2018-2019</a:t>
            </a:r>
            <a:r>
              <a:rPr lang="zh-CN" altLang="en-US" sz="1800" b="1" i="0" u="none" strike="noStrike" baseline="0">
                <a:solidFill>
                  <a:srgbClr val="000000"/>
                </a:solidFill>
                <a:latin typeface="宋体" panose="02010600030101010101" charset="-122"/>
                <a:ea typeface="宋体" panose="02010600030101010101" charset="-122"/>
              </a:rPr>
              <a:t>学年度经费支出对比图</a:t>
            </a:r>
            <a:endParaRPr lang="zh-CN" altLang="en-US"/>
          </a:p>
        </c:rich>
      </c:tx>
      <c:layout/>
      <c:overlay val="0"/>
    </c:title>
    <c:autoTitleDeleted val="0"/>
    <c:plotArea>
      <c:layout/>
      <c:barChart>
        <c:barDir val="col"/>
        <c:grouping val="clustered"/>
        <c:varyColors val="0"/>
        <c:ser>
          <c:idx val="0"/>
          <c:order val="0"/>
          <c:tx>
            <c:strRef>
              <c:f>2017-2018</c:f>
              <c:strCache>
                <c:ptCount val="1"/>
                <c:pt idx="0">
                  <c:v>2017-2018</c:v>
                </c:pt>
              </c:strCache>
            </c:strRef>
          </c:tx>
          <c:invertIfNegative val="0"/>
          <c:dLbls>
            <c:dLbl>
              <c:idx val="7"/>
              <c:layout>
                <c:manualLayout>
                  <c:x val="-0.00270087778528022"/>
                  <c:y val="-0.053511705685618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0066CC"/>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'5.2经费支出'!$C$11:$J$11</c:f>
              <c:strCache>
                <c:ptCount val="8"/>
                <c:pt idx="0">
                  <c:v>基础设施建设（万元）</c:v>
                </c:pt>
                <c:pt idx="1">
                  <c:v>设备采购（万元）</c:v>
                </c:pt>
                <c:pt idx="2">
                  <c:v>日常教学经费（万元）</c:v>
                </c:pt>
                <c:pt idx="3">
                  <c:v>师资队伍建设费(万元)</c:v>
                </c:pt>
                <c:pt idx="4">
                  <c:v>教学改革及研究费（万元）</c:v>
                </c:pt>
                <c:pt idx="5">
                  <c:v>其他支出总额(万元)</c:v>
                </c:pt>
                <c:pt idx="6">
                  <c:v>还贷金额(万元)</c:v>
                </c:pt>
                <c:pt idx="7">
                  <c:v>信息校园建设费(万元)</c:v>
                </c:pt>
              </c:strCache>
            </c:strRef>
          </c:cat>
          <c:val>
            <c:numRef>
              <c:f>'5.2经费支出'!$C$12:$J$12</c:f>
              <c:numCache>
                <c:formatCode>General</c:formatCode>
                <c:ptCount val="8"/>
                <c:pt idx="0">
                  <c:v>107.22</c:v>
                </c:pt>
                <c:pt idx="1">
                  <c:v>648.23</c:v>
                </c:pt>
                <c:pt idx="2">
                  <c:v>162.54</c:v>
                </c:pt>
                <c:pt idx="3">
                  <c:v>9.27</c:v>
                </c:pt>
                <c:pt idx="4">
                  <c:v>18.29</c:v>
                </c:pt>
                <c:pt idx="5">
                  <c:v>2127.45</c:v>
                </c:pt>
                <c:pt idx="6">
                  <c:v>0</c:v>
                </c:pt>
                <c:pt idx="7">
                  <c:v>205.57</c:v>
                </c:pt>
              </c:numCache>
            </c:numRef>
          </c:val>
        </c:ser>
        <c:ser>
          <c:idx val="1"/>
          <c:order val="1"/>
          <c:tx>
            <c:strRef>
              <c:f>2018-2019</c:f>
              <c:strCache>
                <c:ptCount val="1"/>
                <c:pt idx="0">
                  <c:v>2018-2019</c:v>
                </c:pt>
              </c:strCache>
            </c:strRef>
          </c:tx>
          <c:invertIfNegative val="0"/>
          <c:dLbls>
            <c:dLbl>
              <c:idx val="1"/>
              <c:layout>
                <c:manualLayout>
                  <c:x val="0.00270087778528022"/>
                  <c:y val="-0.057971014492753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0900292595093405"/>
                  <c:y val="-0.06243032329988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22296544035674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FF0000"/>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'5.2经费支出'!$C$11:$J$11</c:f>
              <c:strCache>
                <c:ptCount val="8"/>
                <c:pt idx="0">
                  <c:v>基础设施建设（万元）</c:v>
                </c:pt>
                <c:pt idx="1">
                  <c:v>设备采购（万元）</c:v>
                </c:pt>
                <c:pt idx="2">
                  <c:v>日常教学经费（万元）</c:v>
                </c:pt>
                <c:pt idx="3">
                  <c:v>师资队伍建设费(万元)</c:v>
                </c:pt>
                <c:pt idx="4">
                  <c:v>教学改革及研究费（万元）</c:v>
                </c:pt>
                <c:pt idx="5">
                  <c:v>其他支出总额(万元)</c:v>
                </c:pt>
                <c:pt idx="6">
                  <c:v>还贷金额(万元)</c:v>
                </c:pt>
                <c:pt idx="7">
                  <c:v>信息校园建设费(万元)</c:v>
                </c:pt>
              </c:strCache>
            </c:strRef>
          </c:cat>
          <c:val>
            <c:numRef>
              <c:f>'5.2经费支出'!$C$13:$J$13</c:f>
              <c:numCache>
                <c:formatCode>General</c:formatCode>
                <c:ptCount val="8"/>
                <c:pt idx="0">
                  <c:v>10.98</c:v>
                </c:pt>
                <c:pt idx="1">
                  <c:v>749.67</c:v>
                </c:pt>
                <c:pt idx="2">
                  <c:v>206.49</c:v>
                </c:pt>
                <c:pt idx="3">
                  <c:v>25.69</c:v>
                </c:pt>
                <c:pt idx="4">
                  <c:v>26.62</c:v>
                </c:pt>
                <c:pt idx="5">
                  <c:v>2794.32</c:v>
                </c:pt>
                <c:pt idx="6">
                  <c:v>0</c:v>
                </c:pt>
                <c:pt idx="7">
                  <c:v>397.69</c:v>
                </c:pt>
              </c:numCache>
            </c:numRef>
          </c:val>
        </c:ser>
        <c:dLbls>
          <c:showLegendKey val="0"/>
          <c:showVal val="0"/>
          <c:showCatName val="0"/>
          <c:showSerName val="0"/>
          <c:showPercent val="0"/>
          <c:showBubbleSize val="0"/>
        </c:dLbls>
        <c:gapWidth val="150"/>
        <c:axId val="455427200"/>
        <c:axId val="455428736"/>
      </c:barChart>
      <c:catAx>
        <c:axId val="455427200"/>
        <c:scaling>
          <c:orientation val="minMax"/>
        </c:scaling>
        <c:delete val="0"/>
        <c:axPos val="b"/>
        <c:numFmt formatCode="@" sourceLinked="1"/>
        <c:majorTickMark val="none"/>
        <c:minorTickMark val="none"/>
        <c:tickLblPos val="nextTo"/>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455428736"/>
        <c:crosses val="autoZero"/>
        <c:auto val="1"/>
        <c:lblAlgn val="ctr"/>
        <c:lblOffset val="100"/>
        <c:noMultiLvlLbl val="0"/>
      </c:catAx>
      <c:valAx>
        <c:axId val="455428736"/>
        <c:scaling>
          <c:orientation val="minMax"/>
        </c:scaling>
        <c:delete val="0"/>
        <c:axPos val="l"/>
        <c:majorGridlines/>
        <c:numFmt formatCode="General" sourceLinked="1"/>
        <c:majorTickMark val="none"/>
        <c:minorTickMark val="none"/>
        <c:tickLblPos val="nextTo"/>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455427200"/>
        <c:crosses val="autoZero"/>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Table>
    </c:plotArea>
    <c:plotVisOnly val="1"/>
    <c:dispBlanksAs val="gap"/>
    <c:showDLblsOverMax val="0"/>
  </c:chart>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383A78-28F0-4F98-BB71-3AFAC2165046}">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Pages>87</Pages>
  <Words>51571</Words>
  <Characters>13163</Characters>
  <Lines>109</Lines>
  <Paragraphs>129</Paragraphs>
  <TotalTime>8</TotalTime>
  <ScaleCrop>false</ScaleCrop>
  <LinksUpToDate>false</LinksUpToDate>
  <CharactersWithSpaces>64605</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2020-01-15T08:16:00Z</dcterms:created>
  <dc:creator>通</dc:creator>
  <cp:lastModifiedBy>通</cp:lastModifiedBy>
  <dcterms:modified xsi:type="dcterms:W3CDTF">2020-01-16T02:33:13Z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